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93" w:rsidRPr="00A5184B" w:rsidRDefault="00A5184B">
      <w:pPr>
        <w:jc w:val="center"/>
        <w:rPr>
          <w:rFonts w:ascii="仿宋" w:eastAsia="仿宋" w:hAnsi="仿宋"/>
          <w:sz w:val="36"/>
        </w:rPr>
      </w:pPr>
      <w:r w:rsidRPr="00A5184B">
        <w:rPr>
          <w:rFonts w:ascii="仿宋" w:eastAsia="仿宋" w:hAnsi="仿宋" w:hint="eastAsia"/>
          <w:b/>
          <w:bCs/>
          <w:sz w:val="32"/>
        </w:rPr>
        <w:t>盐酸文拉法辛胶囊说明书及标签修订详情</w:t>
      </w:r>
    </w:p>
    <w:tbl>
      <w:tblPr>
        <w:tblStyle w:val="a5"/>
        <w:tblW w:w="14799" w:type="dxa"/>
        <w:tblInd w:w="-374" w:type="dxa"/>
        <w:tblLayout w:type="fixed"/>
        <w:tblLook w:val="04A0" w:firstRow="1" w:lastRow="0" w:firstColumn="1" w:lastColumn="0" w:noHBand="0" w:noVBand="1"/>
      </w:tblPr>
      <w:tblGrid>
        <w:gridCol w:w="1900"/>
        <w:gridCol w:w="5812"/>
        <w:gridCol w:w="7087"/>
      </w:tblGrid>
      <w:tr w:rsidR="00314093" w:rsidRPr="00A5184B" w:rsidTr="0002101F">
        <w:trPr>
          <w:trHeight w:val="367"/>
        </w:trPr>
        <w:tc>
          <w:tcPr>
            <w:tcW w:w="1900" w:type="dxa"/>
            <w:vAlign w:val="center"/>
          </w:tcPr>
          <w:p w:rsidR="00314093" w:rsidRPr="00A5184B" w:rsidRDefault="00A5184B">
            <w:pPr>
              <w:jc w:val="center"/>
              <w:rPr>
                <w:rFonts w:ascii="仿宋" w:eastAsia="仿宋" w:hAnsi="仿宋"/>
                <w:b/>
                <w:bCs/>
                <w:kern w:val="0"/>
                <w:szCs w:val="21"/>
              </w:rPr>
            </w:pPr>
            <w:r w:rsidRPr="00A5184B">
              <w:rPr>
                <w:rFonts w:ascii="仿宋" w:eastAsia="仿宋" w:hAnsi="仿宋" w:hint="eastAsia"/>
                <w:b/>
                <w:bCs/>
                <w:kern w:val="0"/>
                <w:szCs w:val="21"/>
              </w:rPr>
              <w:t>修订</w:t>
            </w:r>
            <w:r w:rsidRPr="00A5184B">
              <w:rPr>
                <w:rFonts w:ascii="仿宋" w:eastAsia="仿宋" w:hAnsi="仿宋"/>
                <w:b/>
                <w:bCs/>
                <w:kern w:val="0"/>
                <w:szCs w:val="21"/>
              </w:rPr>
              <w:t>项目</w:t>
            </w:r>
          </w:p>
        </w:tc>
        <w:tc>
          <w:tcPr>
            <w:tcW w:w="5812" w:type="dxa"/>
            <w:vAlign w:val="center"/>
          </w:tcPr>
          <w:p w:rsidR="00314093" w:rsidRPr="00A5184B" w:rsidRDefault="00A5184B" w:rsidP="00A5184B">
            <w:pPr>
              <w:jc w:val="center"/>
              <w:rPr>
                <w:rFonts w:ascii="仿宋" w:eastAsia="仿宋" w:hAnsi="仿宋"/>
                <w:b/>
                <w:bCs/>
                <w:kern w:val="0"/>
                <w:szCs w:val="21"/>
              </w:rPr>
            </w:pPr>
            <w:r w:rsidRPr="00A5184B">
              <w:rPr>
                <w:rFonts w:ascii="仿宋" w:eastAsia="仿宋" w:hAnsi="仿宋"/>
                <w:b/>
                <w:bCs/>
                <w:kern w:val="0"/>
                <w:szCs w:val="21"/>
              </w:rPr>
              <w:t>修订前</w:t>
            </w:r>
            <w:r w:rsidRPr="00A5184B">
              <w:rPr>
                <w:rFonts w:ascii="仿宋" w:eastAsia="仿宋" w:hAnsi="仿宋" w:hint="eastAsia"/>
                <w:b/>
                <w:bCs/>
                <w:kern w:val="0"/>
                <w:szCs w:val="21"/>
              </w:rPr>
              <w:t>说明书内容</w:t>
            </w:r>
          </w:p>
        </w:tc>
        <w:tc>
          <w:tcPr>
            <w:tcW w:w="7087" w:type="dxa"/>
            <w:vAlign w:val="center"/>
          </w:tcPr>
          <w:p w:rsidR="00314093" w:rsidRPr="00A5184B" w:rsidRDefault="00A5184B">
            <w:pPr>
              <w:jc w:val="center"/>
              <w:rPr>
                <w:rFonts w:ascii="仿宋" w:eastAsia="仿宋" w:hAnsi="仿宋"/>
                <w:b/>
                <w:bCs/>
                <w:kern w:val="0"/>
                <w:szCs w:val="21"/>
              </w:rPr>
            </w:pPr>
            <w:r w:rsidRPr="00A5184B">
              <w:rPr>
                <w:rFonts w:ascii="仿宋" w:eastAsia="仿宋" w:hAnsi="仿宋"/>
                <w:b/>
                <w:bCs/>
                <w:kern w:val="0"/>
                <w:szCs w:val="21"/>
              </w:rPr>
              <w:t>修订后</w:t>
            </w:r>
            <w:r w:rsidRPr="00A5184B">
              <w:rPr>
                <w:rFonts w:ascii="仿宋" w:eastAsia="仿宋" w:hAnsi="仿宋" w:hint="eastAsia"/>
                <w:b/>
                <w:bCs/>
                <w:kern w:val="0"/>
                <w:szCs w:val="21"/>
              </w:rPr>
              <w:t>说明书内容</w:t>
            </w:r>
          </w:p>
        </w:tc>
      </w:tr>
      <w:tr w:rsidR="00314093" w:rsidRPr="00A5184B" w:rsidTr="0002101F">
        <w:trPr>
          <w:trHeight w:val="3378"/>
        </w:trPr>
        <w:tc>
          <w:tcPr>
            <w:tcW w:w="1900" w:type="dxa"/>
            <w:vAlign w:val="center"/>
          </w:tcPr>
          <w:p w:rsidR="00314093" w:rsidRPr="00A5184B" w:rsidRDefault="00A5184B">
            <w:pPr>
              <w:jc w:val="center"/>
              <w:rPr>
                <w:rFonts w:ascii="仿宋" w:eastAsia="仿宋" w:hAnsi="仿宋"/>
                <w:kern w:val="0"/>
                <w:szCs w:val="21"/>
              </w:rPr>
            </w:pPr>
            <w:r w:rsidRPr="00A5184B">
              <w:rPr>
                <w:rFonts w:ascii="仿宋" w:eastAsia="仿宋" w:hAnsi="仿宋"/>
                <w:kern w:val="0"/>
                <w:szCs w:val="21"/>
              </w:rPr>
              <w:t>【警示语】</w:t>
            </w:r>
          </w:p>
        </w:tc>
        <w:tc>
          <w:tcPr>
            <w:tcW w:w="5812" w:type="dxa"/>
            <w:vAlign w:val="center"/>
          </w:tcPr>
          <w:p w:rsidR="00314093" w:rsidRPr="00A5184B" w:rsidRDefault="00A5184B" w:rsidP="00A5184B">
            <w:pPr>
              <w:jc w:val="center"/>
              <w:rPr>
                <w:rFonts w:ascii="仿宋" w:eastAsia="仿宋" w:hAnsi="仿宋"/>
                <w:kern w:val="0"/>
                <w:szCs w:val="21"/>
              </w:rPr>
            </w:pPr>
            <w:r w:rsidRPr="00A5184B">
              <w:rPr>
                <w:rFonts w:ascii="仿宋" w:eastAsia="仿宋" w:hAnsi="仿宋"/>
                <w:kern w:val="0"/>
                <w:szCs w:val="21"/>
              </w:rPr>
              <w:t>无</w:t>
            </w:r>
          </w:p>
        </w:tc>
        <w:tc>
          <w:tcPr>
            <w:tcW w:w="7087" w:type="dxa"/>
            <w:vAlign w:val="center"/>
          </w:tcPr>
          <w:p w:rsidR="00314093" w:rsidRPr="00A5184B" w:rsidRDefault="00A5184B">
            <w:pPr>
              <w:rPr>
                <w:rFonts w:ascii="仿宋" w:eastAsia="仿宋" w:hAnsi="仿宋"/>
                <w:kern w:val="0"/>
                <w:szCs w:val="21"/>
              </w:rPr>
            </w:pPr>
            <w:r w:rsidRPr="00A5184B">
              <w:rPr>
                <w:rFonts w:ascii="仿宋" w:eastAsia="仿宋" w:hAnsi="仿宋"/>
                <w:kern w:val="0"/>
                <w:szCs w:val="21"/>
              </w:rPr>
              <w:t>自杀倾向和抗抑郁药</w:t>
            </w:r>
          </w:p>
          <w:p w:rsidR="00314093" w:rsidRPr="00A5184B" w:rsidRDefault="00A5184B">
            <w:pPr>
              <w:rPr>
                <w:rFonts w:ascii="仿宋" w:eastAsia="仿宋" w:hAnsi="仿宋"/>
                <w:kern w:val="0"/>
                <w:szCs w:val="21"/>
              </w:rPr>
            </w:pPr>
            <w:r w:rsidRPr="00A5184B">
              <w:rPr>
                <w:rFonts w:ascii="仿宋" w:eastAsia="仿宋" w:hAnsi="仿宋"/>
                <w:kern w:val="0"/>
                <w:szCs w:val="21"/>
              </w:rPr>
              <w:t>对抑郁症（MDD）和其它精神障碍的短期临床试验结果显示，与安慰剂相比，抗抑郁药增加了儿童、青少年和青年（&lt;24岁）患者自杀的想法和实施自杀行为（自杀倾向）的风险。任何人如果考虑将本品或其它抗抑郁药用于儿童、青少年或青年（&lt;24岁），都必须在其风险和临床需求之间进行权衡。短期的临床试验没有显示出，与安慰剂相比年龄大于24岁的成年人使用抗抑郁药会增加自杀倾向的风险；而在年龄65岁及以上的成年人中，使用抗抑郁药后，自杀倾向的风险有所降低。抑郁和某些精神障碍本身与自杀风险的增加有关，必须密切观察所有年龄患者使用抗抑郁药治疗开始后的临床症状的恶化、自杀倾向、行为的异常变化。应建议家属和看护者必须密切观察并与医生进行沟通。本品未被批准用于儿童患者（见[儿童用药]）。</w:t>
            </w:r>
          </w:p>
        </w:tc>
      </w:tr>
      <w:tr w:rsidR="00314093" w:rsidRPr="00A5184B" w:rsidTr="0002101F">
        <w:trPr>
          <w:trHeight w:val="1098"/>
        </w:trPr>
        <w:tc>
          <w:tcPr>
            <w:tcW w:w="1900" w:type="dxa"/>
            <w:vAlign w:val="center"/>
          </w:tcPr>
          <w:p w:rsidR="00314093" w:rsidRPr="00A5184B" w:rsidRDefault="00A5184B">
            <w:pPr>
              <w:jc w:val="center"/>
              <w:rPr>
                <w:rFonts w:ascii="仿宋" w:eastAsia="仿宋" w:hAnsi="仿宋"/>
                <w:kern w:val="0"/>
                <w:szCs w:val="21"/>
              </w:rPr>
            </w:pPr>
            <w:r w:rsidRPr="00A5184B">
              <w:rPr>
                <w:rFonts w:ascii="仿宋" w:eastAsia="仿宋" w:hAnsi="仿宋"/>
                <w:kern w:val="0"/>
                <w:szCs w:val="21"/>
              </w:rPr>
              <w:t>【儿童用药】</w:t>
            </w:r>
          </w:p>
        </w:tc>
        <w:tc>
          <w:tcPr>
            <w:tcW w:w="5812" w:type="dxa"/>
            <w:vAlign w:val="center"/>
          </w:tcPr>
          <w:p w:rsidR="00314093" w:rsidRPr="00A5184B" w:rsidRDefault="00A5184B" w:rsidP="00A5184B">
            <w:pPr>
              <w:jc w:val="center"/>
              <w:rPr>
                <w:rFonts w:ascii="仿宋" w:eastAsia="仿宋" w:hAnsi="仿宋"/>
                <w:kern w:val="0"/>
                <w:szCs w:val="21"/>
              </w:rPr>
            </w:pPr>
            <w:r w:rsidRPr="00A5184B">
              <w:rPr>
                <w:rFonts w:ascii="仿宋" w:eastAsia="仿宋" w:hAnsi="仿宋"/>
                <w:kern w:val="0"/>
                <w:szCs w:val="21"/>
              </w:rPr>
              <w:t>慎用。</w:t>
            </w:r>
          </w:p>
        </w:tc>
        <w:tc>
          <w:tcPr>
            <w:tcW w:w="7087" w:type="dxa"/>
            <w:vAlign w:val="center"/>
          </w:tcPr>
          <w:p w:rsidR="00314093" w:rsidRPr="00A5184B" w:rsidRDefault="00A5184B">
            <w:pPr>
              <w:rPr>
                <w:rFonts w:ascii="仿宋" w:eastAsia="仿宋" w:hAnsi="仿宋"/>
                <w:kern w:val="0"/>
                <w:szCs w:val="21"/>
              </w:rPr>
            </w:pPr>
            <w:r w:rsidRPr="00A5184B">
              <w:rPr>
                <w:rFonts w:ascii="仿宋" w:eastAsia="仿宋" w:hAnsi="仿宋"/>
                <w:kern w:val="0"/>
                <w:szCs w:val="21"/>
              </w:rPr>
              <w:t>本品不应用于18岁以下的儿童和青少年。本品用于儿童（18岁以下）的疗效和安全性尚未证实。在文拉法辛缓释制剂的儿童的临床试验中，观察到有自杀意念的不良反应发生。另外敌意和自伤的报告也增多，自伤尤见于抑郁症患者。6岁以下儿童安全性尚未评估。</w:t>
            </w:r>
          </w:p>
        </w:tc>
      </w:tr>
      <w:tr w:rsidR="0002101F" w:rsidRPr="00A5184B" w:rsidTr="0002101F">
        <w:trPr>
          <w:trHeight w:val="22"/>
        </w:trPr>
        <w:tc>
          <w:tcPr>
            <w:tcW w:w="1900" w:type="dxa"/>
            <w:vAlign w:val="center"/>
          </w:tcPr>
          <w:p w:rsidR="0002101F" w:rsidRPr="00A5184B" w:rsidRDefault="0002101F" w:rsidP="0002101F">
            <w:pPr>
              <w:jc w:val="center"/>
              <w:rPr>
                <w:rFonts w:ascii="仿宋" w:eastAsia="仿宋" w:hAnsi="仿宋"/>
                <w:kern w:val="0"/>
                <w:szCs w:val="21"/>
              </w:rPr>
            </w:pPr>
            <w:r w:rsidRPr="00A5184B">
              <w:rPr>
                <w:rFonts w:ascii="仿宋" w:eastAsia="仿宋" w:hAnsi="仿宋"/>
                <w:kern w:val="0"/>
                <w:szCs w:val="21"/>
              </w:rPr>
              <w:t>【药物相互作用】</w:t>
            </w:r>
          </w:p>
        </w:tc>
        <w:tc>
          <w:tcPr>
            <w:tcW w:w="5812" w:type="dxa"/>
            <w:vAlign w:val="center"/>
          </w:tcPr>
          <w:p w:rsidR="0002101F" w:rsidRPr="0002101F" w:rsidRDefault="0002101F" w:rsidP="0002101F">
            <w:pPr>
              <w:rPr>
                <w:rFonts w:ascii="仿宋" w:eastAsia="仿宋" w:hAnsi="仿宋"/>
                <w:kern w:val="0"/>
                <w:szCs w:val="21"/>
              </w:rPr>
            </w:pPr>
            <w:r>
              <w:rPr>
                <w:rFonts w:ascii="仿宋" w:eastAsia="仿宋" w:hAnsi="仿宋" w:hint="eastAsia"/>
                <w:kern w:val="0"/>
                <w:szCs w:val="21"/>
              </w:rPr>
              <w:t>1.</w:t>
            </w:r>
            <w:r w:rsidRPr="0002101F">
              <w:rPr>
                <w:rFonts w:ascii="仿宋" w:eastAsia="仿宋" w:hAnsi="仿宋" w:hint="eastAsia"/>
                <w:kern w:val="0"/>
                <w:szCs w:val="21"/>
              </w:rPr>
              <w:t>与选择性5-羟色胺再摄取抑制剂或与单胺氧化酶抑制剂合用时，可引起高血压、僵硬、肌阵挛、不自主运动、焦虑不安、意识障碍乃至昏迷和死亡。因此，在由一种药物转换为另一种药物治疗时，需7~14日的洗净期。</w:t>
            </w:r>
          </w:p>
          <w:p w:rsidR="0002101F" w:rsidRPr="0002101F" w:rsidRDefault="0002101F" w:rsidP="0002101F">
            <w:pPr>
              <w:rPr>
                <w:rFonts w:ascii="仿宋" w:eastAsia="仿宋" w:hAnsi="仿宋"/>
                <w:kern w:val="0"/>
                <w:szCs w:val="21"/>
              </w:rPr>
            </w:pPr>
            <w:r>
              <w:rPr>
                <w:rFonts w:ascii="仿宋" w:eastAsia="仿宋" w:hAnsi="仿宋" w:hint="eastAsia"/>
                <w:kern w:val="0"/>
                <w:szCs w:val="21"/>
              </w:rPr>
              <w:t>2.</w:t>
            </w:r>
            <w:r w:rsidRPr="0002101F">
              <w:rPr>
                <w:rFonts w:ascii="仿宋" w:eastAsia="仿宋" w:hAnsi="仿宋" w:hint="eastAsia"/>
                <w:kern w:val="0"/>
                <w:szCs w:val="21"/>
              </w:rPr>
              <w:t>与</w:t>
            </w:r>
            <w:proofErr w:type="gramStart"/>
            <w:r w:rsidRPr="0002101F">
              <w:rPr>
                <w:rFonts w:ascii="仿宋" w:eastAsia="仿宋" w:hAnsi="仿宋" w:hint="eastAsia"/>
                <w:kern w:val="0"/>
                <w:szCs w:val="21"/>
              </w:rPr>
              <w:t>奎尼丁</w:t>
            </w:r>
            <w:proofErr w:type="gramEnd"/>
            <w:r w:rsidRPr="0002101F">
              <w:rPr>
                <w:rFonts w:ascii="仿宋" w:eastAsia="仿宋" w:hAnsi="仿宋" w:hint="eastAsia"/>
                <w:kern w:val="0"/>
                <w:szCs w:val="21"/>
              </w:rPr>
              <w:t>合用时，可使本品血药浓度升高。</w:t>
            </w:r>
          </w:p>
          <w:p w:rsidR="0002101F" w:rsidRPr="0002101F" w:rsidRDefault="0002101F" w:rsidP="0002101F">
            <w:pPr>
              <w:rPr>
                <w:rFonts w:ascii="仿宋" w:eastAsia="仿宋" w:hAnsi="仿宋"/>
                <w:kern w:val="0"/>
                <w:szCs w:val="21"/>
              </w:rPr>
            </w:pPr>
            <w:r>
              <w:rPr>
                <w:rFonts w:ascii="仿宋" w:eastAsia="仿宋" w:hAnsi="仿宋" w:hint="eastAsia"/>
                <w:kern w:val="0"/>
                <w:szCs w:val="21"/>
              </w:rPr>
              <w:t>3.</w:t>
            </w:r>
            <w:r w:rsidRPr="0002101F">
              <w:rPr>
                <w:rFonts w:ascii="仿宋" w:eastAsia="仿宋" w:hAnsi="仿宋" w:hint="eastAsia"/>
                <w:kern w:val="0"/>
                <w:szCs w:val="21"/>
              </w:rPr>
              <w:t>与β-受体阻滞剂普</w:t>
            </w:r>
            <w:proofErr w:type="gramStart"/>
            <w:r w:rsidRPr="0002101F">
              <w:rPr>
                <w:rFonts w:ascii="仿宋" w:eastAsia="仿宋" w:hAnsi="仿宋" w:hint="eastAsia"/>
                <w:kern w:val="0"/>
                <w:szCs w:val="21"/>
              </w:rPr>
              <w:t>萘洛</w:t>
            </w:r>
            <w:proofErr w:type="gramEnd"/>
            <w:r w:rsidRPr="0002101F">
              <w:rPr>
                <w:rFonts w:ascii="仿宋" w:eastAsia="仿宋" w:hAnsi="仿宋" w:hint="eastAsia"/>
                <w:kern w:val="0"/>
                <w:szCs w:val="21"/>
              </w:rPr>
              <w:t>尔、美多洛尔，</w:t>
            </w:r>
            <w:proofErr w:type="gramStart"/>
            <w:r w:rsidRPr="0002101F">
              <w:rPr>
                <w:rFonts w:ascii="仿宋" w:eastAsia="仿宋" w:hAnsi="仿宋" w:hint="eastAsia"/>
                <w:kern w:val="0"/>
                <w:szCs w:val="21"/>
              </w:rPr>
              <w:t>噻</w:t>
            </w:r>
            <w:proofErr w:type="gramEnd"/>
            <w:r w:rsidRPr="0002101F">
              <w:rPr>
                <w:rFonts w:ascii="仿宋" w:eastAsia="仿宋" w:hAnsi="仿宋" w:hint="eastAsia"/>
                <w:kern w:val="0"/>
                <w:szCs w:val="21"/>
              </w:rPr>
              <w:t>吗</w:t>
            </w:r>
            <w:proofErr w:type="gramStart"/>
            <w:r w:rsidRPr="0002101F">
              <w:rPr>
                <w:rFonts w:ascii="仿宋" w:eastAsia="仿宋" w:hAnsi="仿宋" w:hint="eastAsia"/>
                <w:kern w:val="0"/>
                <w:szCs w:val="21"/>
              </w:rPr>
              <w:t>洛</w:t>
            </w:r>
            <w:proofErr w:type="gramEnd"/>
            <w:r w:rsidRPr="0002101F">
              <w:rPr>
                <w:rFonts w:ascii="仿宋" w:eastAsia="仿宋" w:hAnsi="仿宋" w:hint="eastAsia"/>
                <w:kern w:val="0"/>
                <w:szCs w:val="21"/>
              </w:rPr>
              <w:t>尔或与三环类抗抑郁药阿米替林、</w:t>
            </w:r>
            <w:proofErr w:type="gramStart"/>
            <w:r w:rsidRPr="0002101F">
              <w:rPr>
                <w:rFonts w:ascii="仿宋" w:eastAsia="仿宋" w:hAnsi="仿宋" w:hint="eastAsia"/>
                <w:kern w:val="0"/>
                <w:szCs w:val="21"/>
              </w:rPr>
              <w:t>氯米帕明</w:t>
            </w:r>
            <w:proofErr w:type="gramEnd"/>
            <w:r w:rsidRPr="0002101F">
              <w:rPr>
                <w:rFonts w:ascii="仿宋" w:eastAsia="仿宋" w:hAnsi="仿宋" w:hint="eastAsia"/>
                <w:kern w:val="0"/>
                <w:szCs w:val="21"/>
              </w:rPr>
              <w:t>、丙</w:t>
            </w:r>
            <w:proofErr w:type="gramStart"/>
            <w:r w:rsidRPr="0002101F">
              <w:rPr>
                <w:rFonts w:ascii="仿宋" w:eastAsia="仿宋" w:hAnsi="仿宋" w:hint="eastAsia"/>
                <w:kern w:val="0"/>
                <w:szCs w:val="21"/>
              </w:rPr>
              <w:t>咪嗪</w:t>
            </w:r>
            <w:proofErr w:type="gramEnd"/>
            <w:r w:rsidRPr="0002101F">
              <w:rPr>
                <w:rFonts w:ascii="仿宋" w:eastAsia="仿宋" w:hAnsi="仿宋" w:hint="eastAsia"/>
                <w:kern w:val="0"/>
                <w:szCs w:val="21"/>
              </w:rPr>
              <w:t>或与抗心律失常药普</w:t>
            </w:r>
            <w:proofErr w:type="gramStart"/>
            <w:r w:rsidRPr="0002101F">
              <w:rPr>
                <w:rFonts w:ascii="仿宋" w:eastAsia="仿宋" w:hAnsi="仿宋" w:hint="eastAsia"/>
                <w:kern w:val="0"/>
                <w:szCs w:val="21"/>
              </w:rPr>
              <w:t>鲁帕酮</w:t>
            </w:r>
            <w:proofErr w:type="gramEnd"/>
            <w:r w:rsidRPr="0002101F">
              <w:rPr>
                <w:rFonts w:ascii="仿宋" w:eastAsia="仿宋" w:hAnsi="仿宋" w:hint="eastAsia"/>
                <w:kern w:val="0"/>
                <w:szCs w:val="21"/>
              </w:rPr>
              <w:t>，可待因</w:t>
            </w:r>
            <w:proofErr w:type="gramStart"/>
            <w:r w:rsidRPr="0002101F">
              <w:rPr>
                <w:rFonts w:ascii="仿宋" w:eastAsia="仿宋" w:hAnsi="仿宋" w:hint="eastAsia"/>
                <w:kern w:val="0"/>
                <w:szCs w:val="21"/>
              </w:rPr>
              <w:t>和美沙芬等</w:t>
            </w:r>
            <w:proofErr w:type="gramEnd"/>
            <w:r w:rsidRPr="0002101F">
              <w:rPr>
                <w:rFonts w:ascii="仿宋" w:eastAsia="仿宋" w:hAnsi="仿宋" w:hint="eastAsia"/>
                <w:kern w:val="0"/>
                <w:szCs w:val="21"/>
              </w:rPr>
              <w:t>合用，可竞争性地抑制本品的代谢。</w:t>
            </w:r>
          </w:p>
          <w:p w:rsidR="0002101F" w:rsidRPr="0002101F" w:rsidRDefault="0002101F" w:rsidP="0002101F">
            <w:pPr>
              <w:rPr>
                <w:rFonts w:ascii="仿宋" w:eastAsia="仿宋" w:hAnsi="仿宋"/>
                <w:kern w:val="0"/>
                <w:szCs w:val="21"/>
              </w:rPr>
            </w:pPr>
            <w:r>
              <w:rPr>
                <w:rFonts w:ascii="仿宋" w:eastAsia="仿宋" w:hAnsi="仿宋" w:hint="eastAsia"/>
                <w:kern w:val="0"/>
                <w:szCs w:val="21"/>
              </w:rPr>
              <w:t>4.</w:t>
            </w:r>
            <w:r w:rsidRPr="0002101F">
              <w:rPr>
                <w:rFonts w:ascii="仿宋" w:eastAsia="仿宋" w:hAnsi="仿宋" w:hint="eastAsia"/>
                <w:kern w:val="0"/>
                <w:szCs w:val="21"/>
              </w:rPr>
              <w:t>与西米替丁合用时，可使本品清除率降低。</w:t>
            </w:r>
            <w:bookmarkStart w:id="0" w:name="_GoBack"/>
            <w:bookmarkEnd w:id="0"/>
          </w:p>
        </w:tc>
        <w:tc>
          <w:tcPr>
            <w:tcW w:w="7087" w:type="dxa"/>
            <w:vAlign w:val="center"/>
          </w:tcPr>
          <w:p w:rsidR="0002101F" w:rsidRPr="0002101F" w:rsidRDefault="0002101F" w:rsidP="0002101F">
            <w:pPr>
              <w:rPr>
                <w:rFonts w:ascii="仿宋" w:eastAsia="仿宋" w:hAnsi="仿宋"/>
                <w:kern w:val="0"/>
                <w:szCs w:val="21"/>
              </w:rPr>
            </w:pPr>
            <w:r>
              <w:rPr>
                <w:rFonts w:ascii="仿宋" w:eastAsia="仿宋" w:hAnsi="仿宋" w:hint="eastAsia"/>
                <w:kern w:val="0"/>
                <w:szCs w:val="21"/>
              </w:rPr>
              <w:t>1.</w:t>
            </w:r>
            <w:r w:rsidRPr="0002101F">
              <w:rPr>
                <w:rFonts w:ascii="仿宋" w:eastAsia="仿宋" w:hAnsi="仿宋" w:hint="eastAsia"/>
                <w:kern w:val="0"/>
                <w:szCs w:val="21"/>
              </w:rPr>
              <w:t>与选择性5-羟色胺再摄取抑制剂或与单胺氧化酶抑制剂合用时，可引起高血压、僵硬、肌阵挛、不自主运动、焦虑不安、意识障碍乃至昏迷和死亡。因此，在由一种药物转换为另一种药物治疗时，需7~14日的洗净期。</w:t>
            </w:r>
          </w:p>
          <w:p w:rsidR="0002101F" w:rsidRPr="0002101F" w:rsidRDefault="0002101F" w:rsidP="0002101F">
            <w:pPr>
              <w:rPr>
                <w:rFonts w:ascii="仿宋" w:eastAsia="仿宋" w:hAnsi="仿宋"/>
                <w:kern w:val="0"/>
                <w:szCs w:val="21"/>
              </w:rPr>
            </w:pPr>
            <w:r>
              <w:rPr>
                <w:rFonts w:ascii="仿宋" w:eastAsia="仿宋" w:hAnsi="仿宋" w:hint="eastAsia"/>
                <w:kern w:val="0"/>
                <w:szCs w:val="21"/>
              </w:rPr>
              <w:t>2.</w:t>
            </w:r>
            <w:r w:rsidRPr="0002101F">
              <w:rPr>
                <w:rFonts w:ascii="仿宋" w:eastAsia="仿宋" w:hAnsi="仿宋" w:hint="eastAsia"/>
                <w:kern w:val="0"/>
                <w:szCs w:val="21"/>
              </w:rPr>
              <w:t>与</w:t>
            </w:r>
            <w:proofErr w:type="gramStart"/>
            <w:r w:rsidRPr="0002101F">
              <w:rPr>
                <w:rFonts w:ascii="仿宋" w:eastAsia="仿宋" w:hAnsi="仿宋" w:hint="eastAsia"/>
                <w:kern w:val="0"/>
                <w:szCs w:val="21"/>
              </w:rPr>
              <w:t>奎尼丁</w:t>
            </w:r>
            <w:proofErr w:type="gramEnd"/>
            <w:r w:rsidRPr="0002101F">
              <w:rPr>
                <w:rFonts w:ascii="仿宋" w:eastAsia="仿宋" w:hAnsi="仿宋" w:hint="eastAsia"/>
                <w:kern w:val="0"/>
                <w:szCs w:val="21"/>
              </w:rPr>
              <w:t>合用时，可使本品血药浓度升高。</w:t>
            </w:r>
          </w:p>
          <w:p w:rsidR="0002101F" w:rsidRPr="0002101F" w:rsidRDefault="0002101F" w:rsidP="0002101F">
            <w:pPr>
              <w:rPr>
                <w:rFonts w:ascii="仿宋" w:eastAsia="仿宋" w:hAnsi="仿宋"/>
                <w:kern w:val="0"/>
                <w:szCs w:val="21"/>
              </w:rPr>
            </w:pPr>
            <w:r w:rsidRPr="0002101F">
              <w:rPr>
                <w:rFonts w:ascii="仿宋" w:eastAsia="仿宋" w:hAnsi="仿宋"/>
                <w:kern w:val="0"/>
                <w:szCs w:val="21"/>
              </w:rPr>
              <w:t>3</w:t>
            </w:r>
            <w:r>
              <w:rPr>
                <w:rFonts w:ascii="仿宋" w:eastAsia="仿宋" w:hAnsi="仿宋" w:hint="eastAsia"/>
                <w:kern w:val="0"/>
                <w:szCs w:val="21"/>
              </w:rPr>
              <w:t>.</w:t>
            </w:r>
            <w:r w:rsidRPr="0002101F">
              <w:rPr>
                <w:rFonts w:ascii="仿宋" w:eastAsia="仿宋" w:hAnsi="仿宋"/>
                <w:kern w:val="0"/>
                <w:szCs w:val="21"/>
              </w:rPr>
              <w:t>与β-受体阻滞剂普</w:t>
            </w:r>
            <w:proofErr w:type="gramStart"/>
            <w:r w:rsidRPr="0002101F">
              <w:rPr>
                <w:rFonts w:ascii="仿宋" w:eastAsia="仿宋" w:hAnsi="仿宋"/>
                <w:kern w:val="0"/>
                <w:szCs w:val="21"/>
              </w:rPr>
              <w:t>萘洛</w:t>
            </w:r>
            <w:proofErr w:type="gramEnd"/>
            <w:r w:rsidRPr="0002101F">
              <w:rPr>
                <w:rFonts w:ascii="仿宋" w:eastAsia="仿宋" w:hAnsi="仿宋"/>
                <w:kern w:val="0"/>
                <w:szCs w:val="21"/>
              </w:rPr>
              <w:t>尔、美托洛尔，</w:t>
            </w:r>
            <w:proofErr w:type="gramStart"/>
            <w:r w:rsidRPr="0002101F">
              <w:rPr>
                <w:rFonts w:ascii="仿宋" w:eastAsia="仿宋" w:hAnsi="仿宋"/>
                <w:kern w:val="0"/>
                <w:szCs w:val="21"/>
              </w:rPr>
              <w:t>噻</w:t>
            </w:r>
            <w:proofErr w:type="gramEnd"/>
            <w:r w:rsidRPr="0002101F">
              <w:rPr>
                <w:rFonts w:ascii="仿宋" w:eastAsia="仿宋" w:hAnsi="仿宋"/>
                <w:kern w:val="0"/>
                <w:szCs w:val="21"/>
              </w:rPr>
              <w:t>吗</w:t>
            </w:r>
            <w:proofErr w:type="gramStart"/>
            <w:r w:rsidRPr="0002101F">
              <w:rPr>
                <w:rFonts w:ascii="仿宋" w:eastAsia="仿宋" w:hAnsi="仿宋"/>
                <w:kern w:val="0"/>
                <w:szCs w:val="21"/>
              </w:rPr>
              <w:t>洛</w:t>
            </w:r>
            <w:proofErr w:type="gramEnd"/>
            <w:r w:rsidRPr="0002101F">
              <w:rPr>
                <w:rFonts w:ascii="仿宋" w:eastAsia="仿宋" w:hAnsi="仿宋"/>
                <w:kern w:val="0"/>
                <w:szCs w:val="21"/>
              </w:rPr>
              <w:t>尔或与三环类抗抑郁药阿米替林、</w:t>
            </w:r>
            <w:proofErr w:type="gramStart"/>
            <w:r w:rsidRPr="0002101F">
              <w:rPr>
                <w:rFonts w:ascii="仿宋" w:eastAsia="仿宋" w:hAnsi="仿宋"/>
                <w:kern w:val="0"/>
                <w:szCs w:val="21"/>
              </w:rPr>
              <w:t>氯米帕明</w:t>
            </w:r>
            <w:proofErr w:type="gramEnd"/>
            <w:r w:rsidRPr="0002101F">
              <w:rPr>
                <w:rFonts w:ascii="仿宋" w:eastAsia="仿宋" w:hAnsi="仿宋"/>
                <w:kern w:val="0"/>
                <w:szCs w:val="21"/>
              </w:rPr>
              <w:t>、丙</w:t>
            </w:r>
            <w:proofErr w:type="gramStart"/>
            <w:r w:rsidRPr="0002101F">
              <w:rPr>
                <w:rFonts w:ascii="仿宋" w:eastAsia="仿宋" w:hAnsi="仿宋"/>
                <w:kern w:val="0"/>
                <w:szCs w:val="21"/>
              </w:rPr>
              <w:t>咪嗪</w:t>
            </w:r>
            <w:proofErr w:type="gramEnd"/>
            <w:r w:rsidRPr="0002101F">
              <w:rPr>
                <w:rFonts w:ascii="仿宋" w:eastAsia="仿宋" w:hAnsi="仿宋"/>
                <w:kern w:val="0"/>
                <w:szCs w:val="21"/>
              </w:rPr>
              <w:t>或与抗心律失常药普罗帕酮，可待因</w:t>
            </w:r>
            <w:proofErr w:type="gramStart"/>
            <w:r w:rsidRPr="0002101F">
              <w:rPr>
                <w:rFonts w:ascii="仿宋" w:eastAsia="仿宋" w:hAnsi="仿宋"/>
                <w:kern w:val="0"/>
                <w:szCs w:val="21"/>
              </w:rPr>
              <w:t>和美沙芬等</w:t>
            </w:r>
            <w:proofErr w:type="gramEnd"/>
            <w:r w:rsidRPr="0002101F">
              <w:rPr>
                <w:rFonts w:ascii="仿宋" w:eastAsia="仿宋" w:hAnsi="仿宋"/>
                <w:kern w:val="0"/>
                <w:szCs w:val="21"/>
              </w:rPr>
              <w:t>合用，可竞争性地抑制本品的代谢。</w:t>
            </w:r>
          </w:p>
          <w:p w:rsidR="0002101F" w:rsidRPr="0002101F" w:rsidRDefault="0002101F" w:rsidP="0002101F">
            <w:pPr>
              <w:rPr>
                <w:rFonts w:ascii="仿宋" w:eastAsia="仿宋" w:hAnsi="仿宋"/>
                <w:kern w:val="0"/>
                <w:szCs w:val="21"/>
              </w:rPr>
            </w:pPr>
            <w:r w:rsidRPr="0002101F">
              <w:rPr>
                <w:rFonts w:ascii="仿宋" w:eastAsia="仿宋" w:hAnsi="仿宋"/>
                <w:kern w:val="0"/>
                <w:szCs w:val="21"/>
              </w:rPr>
              <w:t>4</w:t>
            </w:r>
            <w:r>
              <w:rPr>
                <w:rFonts w:ascii="仿宋" w:eastAsia="仿宋" w:hAnsi="仿宋" w:hint="eastAsia"/>
                <w:kern w:val="0"/>
                <w:szCs w:val="21"/>
              </w:rPr>
              <w:t>.</w:t>
            </w:r>
            <w:r w:rsidRPr="0002101F">
              <w:rPr>
                <w:rFonts w:ascii="仿宋" w:eastAsia="仿宋" w:hAnsi="仿宋"/>
                <w:kern w:val="0"/>
                <w:szCs w:val="21"/>
              </w:rPr>
              <w:t>与西</w:t>
            </w:r>
            <w:proofErr w:type="gramStart"/>
            <w:r w:rsidRPr="0002101F">
              <w:rPr>
                <w:rFonts w:ascii="仿宋" w:eastAsia="仿宋" w:hAnsi="仿宋"/>
                <w:kern w:val="0"/>
                <w:szCs w:val="21"/>
              </w:rPr>
              <w:t>咪</w:t>
            </w:r>
            <w:proofErr w:type="gramEnd"/>
            <w:r w:rsidRPr="0002101F">
              <w:rPr>
                <w:rFonts w:ascii="仿宋" w:eastAsia="仿宋" w:hAnsi="仿宋"/>
                <w:kern w:val="0"/>
                <w:szCs w:val="21"/>
              </w:rPr>
              <w:t>替丁合用时，可使本品清除率降低。</w:t>
            </w:r>
          </w:p>
        </w:tc>
      </w:tr>
    </w:tbl>
    <w:p w:rsidR="00314093" w:rsidRPr="00A5184B" w:rsidRDefault="00314093">
      <w:pPr>
        <w:rPr>
          <w:rFonts w:ascii="仿宋" w:eastAsia="仿宋" w:hAnsi="仿宋"/>
          <w:sz w:val="32"/>
        </w:rPr>
      </w:pPr>
    </w:p>
    <w:sectPr w:rsidR="00314093" w:rsidRPr="00A5184B" w:rsidSect="00D20367">
      <w:pgSz w:w="16838" w:h="11906" w:orient="landscape"/>
      <w:pgMar w:top="709"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Shruti"/>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02DB2"/>
    <w:multiLevelType w:val="multilevel"/>
    <w:tmpl w:val="51377FB7"/>
    <w:lvl w:ilvl="0">
      <w:start w:val="1"/>
      <w:numFmt w:val="decimal"/>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
    <w:nsid w:val="51377FB7"/>
    <w:multiLevelType w:val="multilevel"/>
    <w:tmpl w:val="51377FB7"/>
    <w:lvl w:ilvl="0">
      <w:start w:val="1"/>
      <w:numFmt w:val="decimal"/>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CA4"/>
    <w:rsid w:val="0002101F"/>
    <w:rsid w:val="00314093"/>
    <w:rsid w:val="003D1C23"/>
    <w:rsid w:val="005043E6"/>
    <w:rsid w:val="005B62A4"/>
    <w:rsid w:val="006F4DF5"/>
    <w:rsid w:val="00A5184B"/>
    <w:rsid w:val="00AC6CA4"/>
    <w:rsid w:val="00C75827"/>
    <w:rsid w:val="00C86C55"/>
    <w:rsid w:val="00D20367"/>
    <w:rsid w:val="0641349C"/>
    <w:rsid w:val="18D2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F3C5-A10E-4204-838A-E96D7C8C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Company>微软中国</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江欢</dc:creator>
  <cp:lastModifiedBy>lenovo</cp:lastModifiedBy>
  <cp:revision>8</cp:revision>
  <dcterms:created xsi:type="dcterms:W3CDTF">2020-06-09T05:50:00Z</dcterms:created>
  <dcterms:modified xsi:type="dcterms:W3CDTF">2020-06-11T08:30:00Z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