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67" w:rsidRPr="00A16FDB" w:rsidRDefault="006A5F93">
      <w:pPr>
        <w:spacing w:afterLines="50" w:after="156" w:line="440" w:lineRule="exact"/>
        <w:jc w:val="center"/>
        <w:rPr>
          <w:rFonts w:ascii="仿宋" w:eastAsia="仿宋" w:hAnsi="仿宋" w:cs="宋体"/>
          <w:sz w:val="28"/>
        </w:rPr>
      </w:pPr>
      <w:r w:rsidRPr="00A16FDB">
        <w:rPr>
          <w:rFonts w:ascii="仿宋" w:eastAsia="仿宋" w:hAnsi="仿宋" w:cs="宋体" w:hint="eastAsia"/>
          <w:b/>
          <w:bCs/>
          <w:sz w:val="28"/>
        </w:rPr>
        <w:t>小儿氨</w:t>
      </w:r>
      <w:proofErr w:type="gramStart"/>
      <w:r w:rsidRPr="00A16FDB">
        <w:rPr>
          <w:rFonts w:ascii="仿宋" w:eastAsia="仿宋" w:hAnsi="仿宋" w:cs="宋体" w:hint="eastAsia"/>
          <w:b/>
          <w:bCs/>
          <w:sz w:val="28"/>
        </w:rPr>
        <w:t>酚黄那敏</w:t>
      </w:r>
      <w:proofErr w:type="gramEnd"/>
      <w:r w:rsidRPr="00A16FDB">
        <w:rPr>
          <w:rFonts w:ascii="仿宋" w:eastAsia="仿宋" w:hAnsi="仿宋" w:cs="宋体" w:hint="eastAsia"/>
          <w:b/>
          <w:bCs/>
          <w:sz w:val="28"/>
        </w:rPr>
        <w:t>颗粒说明书</w:t>
      </w:r>
      <w:r w:rsidRPr="00A16FDB">
        <w:rPr>
          <w:rFonts w:ascii="仿宋" w:eastAsia="仿宋" w:hAnsi="仿宋" w:cs="宋体" w:hint="eastAsia"/>
          <w:b/>
          <w:sz w:val="28"/>
        </w:rPr>
        <w:t>修订详情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957"/>
        <w:gridCol w:w="5293"/>
      </w:tblGrid>
      <w:tr w:rsidR="00017C67" w:rsidRPr="00A16FDB">
        <w:trPr>
          <w:trHeight w:val="510"/>
          <w:jc w:val="center"/>
        </w:trPr>
        <w:tc>
          <w:tcPr>
            <w:tcW w:w="1586" w:type="dxa"/>
            <w:vAlign w:val="center"/>
          </w:tcPr>
          <w:p w:rsidR="00017C67" w:rsidRPr="00A16FDB" w:rsidRDefault="006A5F93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修订项目</w:t>
            </w:r>
          </w:p>
        </w:tc>
        <w:tc>
          <w:tcPr>
            <w:tcW w:w="2957" w:type="dxa"/>
            <w:vAlign w:val="center"/>
          </w:tcPr>
          <w:p w:rsidR="00017C67" w:rsidRPr="00A16FDB" w:rsidRDefault="006A5F93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修订前说明书内容</w:t>
            </w:r>
          </w:p>
        </w:tc>
        <w:tc>
          <w:tcPr>
            <w:tcW w:w="5293" w:type="dxa"/>
            <w:vAlign w:val="center"/>
          </w:tcPr>
          <w:p w:rsidR="00017C67" w:rsidRPr="00A16FDB" w:rsidRDefault="006A5F93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修订后说明书内容</w:t>
            </w:r>
          </w:p>
        </w:tc>
      </w:tr>
      <w:tr w:rsidR="00017C67" w:rsidRPr="00A16FDB">
        <w:trPr>
          <w:trHeight w:val="1755"/>
          <w:jc w:val="center"/>
        </w:trPr>
        <w:tc>
          <w:tcPr>
            <w:tcW w:w="1586" w:type="dxa"/>
            <w:vAlign w:val="center"/>
          </w:tcPr>
          <w:p w:rsidR="00017C67" w:rsidRPr="00A16FDB" w:rsidRDefault="006A5F93">
            <w:pPr>
              <w:snapToGrid w:val="0"/>
              <w:spacing w:line="300" w:lineRule="exac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【不良反应】</w:t>
            </w:r>
          </w:p>
        </w:tc>
        <w:tc>
          <w:tcPr>
            <w:tcW w:w="2957" w:type="dxa"/>
            <w:vAlign w:val="center"/>
          </w:tcPr>
          <w:p w:rsidR="00017C67" w:rsidRPr="00A16FDB" w:rsidRDefault="006A5F93">
            <w:pPr>
              <w:pStyle w:val="p0"/>
              <w:snapToGrid w:val="0"/>
              <w:spacing w:line="3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 xml:space="preserve">有时有轻度头晕、乏力、恶心、上腹不适、口干、食欲缺乏和皮疹等，可自行恢复。 </w:t>
            </w:r>
          </w:p>
        </w:tc>
        <w:tc>
          <w:tcPr>
            <w:tcW w:w="5293" w:type="dxa"/>
            <w:vAlign w:val="center"/>
          </w:tcPr>
          <w:p w:rsidR="00017C67" w:rsidRPr="00A16FDB" w:rsidRDefault="006A5F93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1、有时有轻度头晕、乏力、恶心、上腹不适、口干、食欲缺乏和皮疹等，可自行恢复。</w:t>
            </w:r>
          </w:p>
          <w:p w:rsidR="00017C67" w:rsidRPr="00A16FDB" w:rsidRDefault="006A5F93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2、偶见皮疹。有</w:t>
            </w:r>
            <w:bookmarkStart w:id="0" w:name="_GoBack"/>
            <w:bookmarkEnd w:id="0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报道，极少数患者使用对乙酰氨基</w:t>
            </w:r>
            <w:proofErr w:type="gramStart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酚</w:t>
            </w:r>
            <w:proofErr w:type="gramEnd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可能出现致命的、严重的皮肤不良反应。</w:t>
            </w:r>
          </w:p>
          <w:p w:rsidR="00017C67" w:rsidRPr="00A16FDB" w:rsidRDefault="006A5F93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3、过量使用对乙酰氨基</w:t>
            </w:r>
            <w:proofErr w:type="gramStart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酚</w:t>
            </w:r>
            <w:proofErr w:type="gramEnd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可引起严重肝损伤。</w:t>
            </w:r>
          </w:p>
          <w:p w:rsidR="00017C67" w:rsidRPr="00A16FDB" w:rsidRDefault="00017C67">
            <w:pPr>
              <w:pStyle w:val="p0"/>
              <w:snapToGrid w:val="0"/>
              <w:spacing w:line="3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017C67" w:rsidRPr="00A16FDB">
        <w:trPr>
          <w:trHeight w:val="711"/>
          <w:jc w:val="center"/>
        </w:trPr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017C67" w:rsidRPr="00A16FDB" w:rsidRDefault="006A5F93">
            <w:pPr>
              <w:pStyle w:val="p0"/>
              <w:snapToGrid w:val="0"/>
              <w:spacing w:line="300" w:lineRule="exact"/>
              <w:jc w:val="center"/>
              <w:rPr>
                <w:rFonts w:ascii="仿宋" w:eastAsia="仿宋" w:hAnsi="仿宋" w:cs="宋体"/>
                <w:bCs/>
                <w:kern w:val="2"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kern w:val="2"/>
                <w:sz w:val="24"/>
                <w:szCs w:val="24"/>
              </w:rPr>
              <w:t>【禁忌】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:rsidR="00017C67" w:rsidRPr="00A16FDB" w:rsidRDefault="00017C67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严重肝肾功能不全者禁用。</w:t>
            </w:r>
          </w:p>
          <w:p w:rsidR="00017C67" w:rsidRPr="00A16FDB" w:rsidRDefault="00017C67">
            <w:pPr>
              <w:snapToGrid w:val="0"/>
              <w:spacing w:line="300" w:lineRule="exac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293" w:type="dxa"/>
            <w:tcBorders>
              <w:bottom w:val="single" w:sz="4" w:space="0" w:color="auto"/>
            </w:tcBorders>
            <w:vAlign w:val="center"/>
          </w:tcPr>
          <w:p w:rsidR="00017C67" w:rsidRPr="00A16FDB" w:rsidRDefault="006A5F93">
            <w:pPr>
              <w:pStyle w:val="a6"/>
              <w:shd w:val="clear" w:color="auto" w:fill="FFFFFF"/>
              <w:spacing w:before="0" w:beforeAutospacing="0" w:after="0" w:afterAutospacing="0" w:line="300" w:lineRule="exact"/>
              <w:rPr>
                <w:rFonts w:ascii="仿宋" w:eastAsia="仿宋" w:hAnsi="仿宋"/>
                <w:bCs/>
                <w:szCs w:val="24"/>
              </w:rPr>
            </w:pPr>
            <w:r w:rsidRPr="00A16FDB">
              <w:rPr>
                <w:rFonts w:ascii="仿宋" w:eastAsia="仿宋" w:hAnsi="仿宋" w:hint="eastAsia"/>
                <w:bCs/>
                <w:szCs w:val="24"/>
              </w:rPr>
              <w:t>对本品过敏者禁用，严重肝肾功能不全者禁用。</w:t>
            </w:r>
          </w:p>
        </w:tc>
      </w:tr>
      <w:tr w:rsidR="00017C67" w:rsidRPr="00A16FDB">
        <w:trPr>
          <w:trHeight w:val="8317"/>
          <w:jc w:val="center"/>
        </w:trPr>
        <w:tc>
          <w:tcPr>
            <w:tcW w:w="1586" w:type="dxa"/>
            <w:vAlign w:val="center"/>
          </w:tcPr>
          <w:p w:rsidR="00017C67" w:rsidRPr="00A16FDB" w:rsidRDefault="006A5F93">
            <w:pPr>
              <w:pStyle w:val="p0"/>
              <w:snapToGrid w:val="0"/>
              <w:spacing w:line="300" w:lineRule="exact"/>
              <w:jc w:val="center"/>
              <w:rPr>
                <w:rFonts w:ascii="仿宋" w:eastAsia="仿宋" w:hAnsi="仿宋" w:cs="宋体"/>
                <w:bCs/>
                <w:kern w:val="2"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kern w:val="2"/>
                <w:sz w:val="24"/>
                <w:szCs w:val="24"/>
              </w:rPr>
              <w:t>【注意事项】</w:t>
            </w:r>
          </w:p>
        </w:tc>
        <w:tc>
          <w:tcPr>
            <w:tcW w:w="2957" w:type="dxa"/>
            <w:vAlign w:val="center"/>
          </w:tcPr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1、用药3-7天、症状未缓解，请咨询医师或药师。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2、服用本品期间不得饮酒或含有酒精的饮料。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3、1岁以下儿童应在医师指导下使用。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4、不能同时服用与本品成份相似的其他抗感冒药。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5、肝、肾功能不全者慎用。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6、如服用过量或出现严重不良反应，应立即应</w:t>
            </w:r>
            <w:proofErr w:type="gramStart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医</w:t>
            </w:r>
            <w:proofErr w:type="gramEnd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7、对本品过敏者禁用，过敏体质者慎用。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8、本品性</w:t>
            </w:r>
            <w:proofErr w:type="gramStart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状发生</w:t>
            </w:r>
            <w:proofErr w:type="gramEnd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改变时禁止使用。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9、请将本品放在儿童不能接触的地方。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10、儿童必须在成人监护下使用。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11、如正在使用其他药品，使用本品前请咨询医师或药师。</w:t>
            </w:r>
          </w:p>
          <w:p w:rsidR="00017C67" w:rsidRPr="00A16FDB" w:rsidRDefault="00017C67">
            <w:pPr>
              <w:widowControl/>
              <w:snapToGrid w:val="0"/>
              <w:spacing w:line="300" w:lineRule="exact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1、用药3-7天、症状未缓解，请咨询医师或药师。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2、当出现皮疹或过敏反应的其他征象时，如用药后出现瘙痒、皮疹，尤其出现口腔、眼、外生殖器红斑、糜烂等，应立即停药并咨询医生。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3、过敏体质者慎用，对本品过敏者禁用。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4、因过量使用对乙酰氨基</w:t>
            </w:r>
            <w:proofErr w:type="gramStart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酚</w:t>
            </w:r>
            <w:proofErr w:type="gramEnd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有引起严重肝损伤的报告，应严格按说明书使用。用药期间如发现肝生化指标异常或出现全身乏力、食欲不振、厌油、恶心、上腹胀痛、尿黄、目黄、皮肤黄染等可能与肝损伤有关的临床表现时，应立即停药并就医。建议对乙酰氨基</w:t>
            </w:r>
            <w:proofErr w:type="gramStart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酚</w:t>
            </w:r>
            <w:proofErr w:type="gramEnd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口服一日最大量不超过2克。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5、应尽量避免合并使用含有对乙酰氨基</w:t>
            </w:r>
            <w:proofErr w:type="gramStart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酚</w:t>
            </w:r>
            <w:proofErr w:type="gramEnd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或其他解热镇痛药的药品，以避免药物过量或导致毒性协同作用。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6、服用本品期间不得饮酒或含有酒精的饮料。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7、1岁以下儿童应在医师指导下使用。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8、不能同时服用与本品成份相似的其他抗感冒药。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9、肝、肾功能不全者慎用。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10、如服用过量或出现严重不良反应，应立即应</w:t>
            </w:r>
            <w:proofErr w:type="gramStart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医</w:t>
            </w:r>
            <w:proofErr w:type="gramEnd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11、本品性</w:t>
            </w:r>
            <w:proofErr w:type="gramStart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状发生</w:t>
            </w:r>
            <w:proofErr w:type="gramEnd"/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改变时禁止使用。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12、请将本品放在儿童不能接触的地方。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13、儿童必须在成人监护下使用。</w:t>
            </w:r>
          </w:p>
          <w:p w:rsidR="00017C67" w:rsidRPr="00A16FDB" w:rsidRDefault="006A5F93">
            <w:pPr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16FDB">
              <w:rPr>
                <w:rFonts w:ascii="仿宋" w:eastAsia="仿宋" w:hAnsi="仿宋" w:cs="宋体" w:hint="eastAsia"/>
                <w:bCs/>
                <w:sz w:val="24"/>
                <w:szCs w:val="24"/>
              </w:rPr>
              <w:t>14、如正在使用其他药品，使用本品前请咨询医师或药师。</w:t>
            </w:r>
          </w:p>
          <w:p w:rsidR="00017C67" w:rsidRPr="00A16FDB" w:rsidRDefault="00017C67">
            <w:pPr>
              <w:widowControl/>
              <w:snapToGrid w:val="0"/>
              <w:spacing w:line="300" w:lineRule="exact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</w:tbl>
    <w:p w:rsidR="00017C67" w:rsidRPr="00A16FDB" w:rsidRDefault="00017C67">
      <w:pPr>
        <w:jc w:val="left"/>
        <w:rPr>
          <w:rFonts w:ascii="仿宋" w:eastAsia="仿宋" w:hAnsi="仿宋"/>
          <w:sz w:val="28"/>
          <w:szCs w:val="28"/>
        </w:rPr>
      </w:pPr>
    </w:p>
    <w:sectPr w:rsidR="00017C67" w:rsidRPr="00A16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25FC45"/>
    <w:multiLevelType w:val="singleLevel"/>
    <w:tmpl w:val="DA25FC45"/>
    <w:lvl w:ilvl="0">
      <w:start w:val="1"/>
      <w:numFmt w:val="decimal"/>
      <w:suff w:val="nothing"/>
      <w:lvlText w:val="%1、"/>
      <w:lvlJc w:val="left"/>
      <w:pPr>
        <w:ind w:left="48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6EA"/>
    <w:rsid w:val="0001126D"/>
    <w:rsid w:val="00017C67"/>
    <w:rsid w:val="000277E9"/>
    <w:rsid w:val="00071A49"/>
    <w:rsid w:val="00087246"/>
    <w:rsid w:val="000A1072"/>
    <w:rsid w:val="000D08DA"/>
    <w:rsid w:val="001B0035"/>
    <w:rsid w:val="001B51D2"/>
    <w:rsid w:val="001D46F2"/>
    <w:rsid w:val="00236D80"/>
    <w:rsid w:val="0028043B"/>
    <w:rsid w:val="00293FEF"/>
    <w:rsid w:val="003204F5"/>
    <w:rsid w:val="00320726"/>
    <w:rsid w:val="003B1566"/>
    <w:rsid w:val="003B58D2"/>
    <w:rsid w:val="003C2780"/>
    <w:rsid w:val="00464840"/>
    <w:rsid w:val="004B7A43"/>
    <w:rsid w:val="004E4457"/>
    <w:rsid w:val="004F0E97"/>
    <w:rsid w:val="00511125"/>
    <w:rsid w:val="0053275C"/>
    <w:rsid w:val="005467E6"/>
    <w:rsid w:val="005976A9"/>
    <w:rsid w:val="005A437D"/>
    <w:rsid w:val="005A59E5"/>
    <w:rsid w:val="005D1D47"/>
    <w:rsid w:val="00604D61"/>
    <w:rsid w:val="0062755C"/>
    <w:rsid w:val="00685359"/>
    <w:rsid w:val="006A5F93"/>
    <w:rsid w:val="00745E5D"/>
    <w:rsid w:val="007D5359"/>
    <w:rsid w:val="00856A43"/>
    <w:rsid w:val="00886CE4"/>
    <w:rsid w:val="008B5DD8"/>
    <w:rsid w:val="00945D34"/>
    <w:rsid w:val="009D723A"/>
    <w:rsid w:val="00A16FDB"/>
    <w:rsid w:val="00A27EED"/>
    <w:rsid w:val="00A46E29"/>
    <w:rsid w:val="00A63D16"/>
    <w:rsid w:val="00A87489"/>
    <w:rsid w:val="00A93B18"/>
    <w:rsid w:val="00AC6A37"/>
    <w:rsid w:val="00AD090E"/>
    <w:rsid w:val="00AF2CFD"/>
    <w:rsid w:val="00B87BE1"/>
    <w:rsid w:val="00C16338"/>
    <w:rsid w:val="00C830FE"/>
    <w:rsid w:val="00CC14A1"/>
    <w:rsid w:val="00D45173"/>
    <w:rsid w:val="00DB2EF4"/>
    <w:rsid w:val="00DE16D8"/>
    <w:rsid w:val="00DE3723"/>
    <w:rsid w:val="00DF33FD"/>
    <w:rsid w:val="00E016EA"/>
    <w:rsid w:val="00E72C32"/>
    <w:rsid w:val="00ED3C54"/>
    <w:rsid w:val="00F13D83"/>
    <w:rsid w:val="00F1671E"/>
    <w:rsid w:val="00F65A6C"/>
    <w:rsid w:val="00FD35FB"/>
    <w:rsid w:val="00FF3C5E"/>
    <w:rsid w:val="02310F10"/>
    <w:rsid w:val="06DF7D9A"/>
    <w:rsid w:val="07D4122C"/>
    <w:rsid w:val="17322FDA"/>
    <w:rsid w:val="17CC0157"/>
    <w:rsid w:val="181B1FDA"/>
    <w:rsid w:val="1C367D2C"/>
    <w:rsid w:val="25A1088E"/>
    <w:rsid w:val="2D257465"/>
    <w:rsid w:val="322D2A77"/>
    <w:rsid w:val="3705016C"/>
    <w:rsid w:val="371D4A2B"/>
    <w:rsid w:val="371F5A3D"/>
    <w:rsid w:val="3B287B99"/>
    <w:rsid w:val="45BE3DA6"/>
    <w:rsid w:val="46EC5EE5"/>
    <w:rsid w:val="55EC7734"/>
    <w:rsid w:val="65D42C47"/>
    <w:rsid w:val="6C0A6419"/>
    <w:rsid w:val="7D7342F8"/>
    <w:rsid w:val="7DE15BF1"/>
    <w:rsid w:val="7E40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CDCF176-DEE3-4499-B407-3C3121E2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28</cp:revision>
  <cp:lastPrinted>2014-11-12T07:06:00Z</cp:lastPrinted>
  <dcterms:created xsi:type="dcterms:W3CDTF">2014-07-15T01:14:00Z</dcterms:created>
  <dcterms:modified xsi:type="dcterms:W3CDTF">2020-06-10T09:25:00Z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