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367086" w:rsidRDefault="00DA0C61" w:rsidP="002C122F">
      <w:pPr>
        <w:spacing w:line="360" w:lineRule="auto"/>
        <w:jc w:val="center"/>
        <w:rPr>
          <w:rFonts w:asciiTheme="minorEastAsia" w:hAnsiTheme="minorEastAsia" w:cs="Times New Roman"/>
          <w:b/>
          <w:sz w:val="28"/>
        </w:rPr>
      </w:pPr>
      <w:r w:rsidRPr="00367086">
        <w:rPr>
          <w:rFonts w:asciiTheme="minorEastAsia" w:hAnsiTheme="minorEastAsia" w:cs="Times New Roman" w:hint="eastAsia"/>
          <w:b/>
          <w:sz w:val="28"/>
        </w:rPr>
        <w:t>安乃近片</w:t>
      </w:r>
      <w:r w:rsidR="002C122F" w:rsidRPr="00367086">
        <w:rPr>
          <w:rFonts w:asciiTheme="minorEastAsia" w:hAnsiTheme="minorEastAsia" w:cs="Times New Roman" w:hint="eastAsia"/>
          <w:b/>
          <w:sz w:val="28"/>
        </w:rPr>
        <w:t>说明书修订</w:t>
      </w:r>
      <w:r w:rsidR="00690171" w:rsidRPr="00367086">
        <w:rPr>
          <w:rFonts w:asciiTheme="minorEastAsia" w:hAnsiTheme="minorEastAsia" w:cs="Times New Roman" w:hint="eastAsia"/>
          <w:b/>
          <w:sz w:val="28"/>
        </w:rPr>
        <w:t>详情</w:t>
      </w: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5103"/>
        <w:gridCol w:w="6804"/>
      </w:tblGrid>
      <w:tr w:rsidR="002C122F" w:rsidRPr="00367086" w:rsidTr="00930579">
        <w:trPr>
          <w:trHeight w:val="495"/>
          <w:jc w:val="center"/>
        </w:trPr>
        <w:tc>
          <w:tcPr>
            <w:tcW w:w="1980" w:type="dxa"/>
            <w:vAlign w:val="center"/>
          </w:tcPr>
          <w:p w:rsidR="002C122F" w:rsidRPr="00367086" w:rsidRDefault="002C122F" w:rsidP="00930579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5103" w:type="dxa"/>
            <w:vAlign w:val="center"/>
          </w:tcPr>
          <w:p w:rsidR="002C122F" w:rsidRPr="00367086" w:rsidRDefault="002C122F" w:rsidP="002C122F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6804" w:type="dxa"/>
            <w:vAlign w:val="center"/>
          </w:tcPr>
          <w:p w:rsidR="002C122F" w:rsidRPr="00367086" w:rsidRDefault="002C122F" w:rsidP="002C122F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FB13C5" w:rsidRPr="00367086" w:rsidTr="00930579">
        <w:trPr>
          <w:jc w:val="center"/>
        </w:trPr>
        <w:tc>
          <w:tcPr>
            <w:tcW w:w="1980" w:type="dxa"/>
            <w:vAlign w:val="center"/>
          </w:tcPr>
          <w:p w:rsidR="00FB13C5" w:rsidRPr="00367086" w:rsidRDefault="00FB13C5" w:rsidP="00930579">
            <w:pPr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【警示语】</w:t>
            </w:r>
          </w:p>
        </w:tc>
        <w:tc>
          <w:tcPr>
            <w:tcW w:w="5103" w:type="dxa"/>
            <w:vAlign w:val="center"/>
          </w:tcPr>
          <w:p w:rsidR="00FB13C5" w:rsidRPr="00367086" w:rsidRDefault="00FB13C5" w:rsidP="00897197">
            <w:pPr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6804" w:type="dxa"/>
            <w:vAlign w:val="center"/>
          </w:tcPr>
          <w:p w:rsidR="00FB13C5" w:rsidRPr="00367086" w:rsidRDefault="00FB13C5" w:rsidP="00FB13C5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FB13C5" w:rsidRPr="00367086" w:rsidTr="00930579">
        <w:trPr>
          <w:jc w:val="center"/>
        </w:trPr>
        <w:tc>
          <w:tcPr>
            <w:tcW w:w="1980" w:type="dxa"/>
            <w:vAlign w:val="center"/>
          </w:tcPr>
          <w:p w:rsidR="00FB13C5" w:rsidRPr="00367086" w:rsidRDefault="00FB13C5" w:rsidP="00930579">
            <w:pPr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【适应症】</w:t>
            </w:r>
          </w:p>
        </w:tc>
        <w:tc>
          <w:tcPr>
            <w:tcW w:w="5103" w:type="dxa"/>
            <w:vAlign w:val="center"/>
          </w:tcPr>
          <w:p w:rsidR="00FB13C5" w:rsidRPr="00367086" w:rsidRDefault="00FB13C5" w:rsidP="00FB13C5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804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367086" w:rsidTr="00930579">
        <w:trPr>
          <w:jc w:val="center"/>
        </w:trPr>
        <w:tc>
          <w:tcPr>
            <w:tcW w:w="1980" w:type="dxa"/>
            <w:vAlign w:val="center"/>
          </w:tcPr>
          <w:p w:rsidR="00FB13C5" w:rsidRPr="00367086" w:rsidRDefault="00FB13C5" w:rsidP="0093057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【用法用量】</w:t>
            </w:r>
          </w:p>
        </w:tc>
        <w:tc>
          <w:tcPr>
            <w:tcW w:w="5103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口服。成人常用量：一次0</w:t>
            </w:r>
            <w:r w:rsidRPr="00367086">
              <w:rPr>
                <w:rFonts w:asciiTheme="minorEastAsia" w:hAnsiTheme="minorEastAsia"/>
              </w:rPr>
              <w:t>.5</w:t>
            </w:r>
            <w:r w:rsidRPr="00367086">
              <w:rPr>
                <w:rFonts w:asciiTheme="minorEastAsia" w:hAnsiTheme="minorEastAsia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367086">
                <w:rPr>
                  <w:rFonts w:asciiTheme="minorEastAsia" w:hAnsiTheme="minorEastAsia"/>
                </w:rPr>
                <w:t>1g</w:t>
              </w:r>
            </w:smartTag>
            <w:r w:rsidRPr="00367086">
              <w:rPr>
                <w:rFonts w:asciiTheme="minorEastAsia" w:hAnsiTheme="minorEastAsia" w:hint="eastAsia"/>
              </w:rPr>
              <w:t>，需要时服1次，最多一日3次。小儿：按体重一次10～20mg/</w:t>
            </w:r>
            <w:r w:rsidRPr="00367086">
              <w:rPr>
                <w:rFonts w:asciiTheme="minorEastAsia" w:hAnsiTheme="minorEastAsia"/>
              </w:rPr>
              <w:t>kg</w:t>
            </w:r>
            <w:r w:rsidRPr="00367086">
              <w:rPr>
                <w:rFonts w:asciiTheme="minorEastAsia" w:hAnsiTheme="minorEastAsia" w:hint="eastAsia"/>
              </w:rPr>
              <w:t>，一日2～3次。</w:t>
            </w:r>
          </w:p>
        </w:tc>
        <w:tc>
          <w:tcPr>
            <w:tcW w:w="6804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口服。成人常用量：一次0</w:t>
            </w:r>
            <w:r w:rsidRPr="00367086">
              <w:rPr>
                <w:rFonts w:asciiTheme="minorEastAsia" w:hAnsiTheme="minorEastAsia"/>
              </w:rPr>
              <w:t>.5</w:t>
            </w:r>
            <w:r w:rsidRPr="00367086">
              <w:rPr>
                <w:rFonts w:asciiTheme="minorEastAsia" w:hAnsiTheme="minorEastAsia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367086">
                <w:rPr>
                  <w:rFonts w:asciiTheme="minorEastAsia" w:hAnsiTheme="minorEastAsia"/>
                </w:rPr>
                <w:t>1g</w:t>
              </w:r>
            </w:smartTag>
            <w:r w:rsidRPr="00367086">
              <w:rPr>
                <w:rFonts w:asciiTheme="minorEastAsia" w:hAnsiTheme="minorEastAsia" w:hint="eastAsia"/>
              </w:rPr>
              <w:t>，需要时服1次，最多一日3次，</w:t>
            </w:r>
            <w:r w:rsidRPr="00367086">
              <w:rPr>
                <w:rFonts w:asciiTheme="minorEastAsia" w:hAnsiTheme="minorEastAsia"/>
              </w:rPr>
              <w:t>应从最低有效剂量开始使用</w:t>
            </w:r>
            <w:r w:rsidRPr="00367086">
              <w:rPr>
                <w:rFonts w:asciiTheme="minorEastAsia" w:hAnsiTheme="minorEastAsia" w:hint="eastAsia"/>
              </w:rPr>
              <w:t>。</w:t>
            </w:r>
            <w:bookmarkStart w:id="0" w:name="_GoBack"/>
            <w:bookmarkEnd w:id="0"/>
          </w:p>
        </w:tc>
      </w:tr>
      <w:tr w:rsidR="00D70259" w:rsidRPr="00367086" w:rsidTr="00930579">
        <w:trPr>
          <w:jc w:val="center"/>
        </w:trPr>
        <w:tc>
          <w:tcPr>
            <w:tcW w:w="1980" w:type="dxa"/>
            <w:vAlign w:val="center"/>
          </w:tcPr>
          <w:p w:rsidR="00D70259" w:rsidRPr="00367086" w:rsidRDefault="00D70259" w:rsidP="00930579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67086">
              <w:rPr>
                <w:rFonts w:asciiTheme="minorEastAsia" w:hAnsiTheme="minorEastAsia" w:hint="eastAsia"/>
              </w:rPr>
              <w:t>【不良反应】</w:t>
            </w:r>
          </w:p>
        </w:tc>
        <w:tc>
          <w:tcPr>
            <w:tcW w:w="5103" w:type="dxa"/>
            <w:vAlign w:val="center"/>
          </w:tcPr>
          <w:p w:rsidR="00D70259" w:rsidRPr="00367086" w:rsidRDefault="00D70259" w:rsidP="00D70259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  <w:p w:rsidR="00D70259" w:rsidRPr="00367086" w:rsidRDefault="00D70259" w:rsidP="00D70259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804" w:type="dxa"/>
            <w:vAlign w:val="center"/>
          </w:tcPr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3.全身性损害：本品可引起眼睑、</w:t>
            </w:r>
            <w:proofErr w:type="gramStart"/>
            <w:r w:rsidRPr="00367086">
              <w:rPr>
                <w:rFonts w:asciiTheme="minorEastAsia" w:hAnsiTheme="minorEastAsia"/>
              </w:rPr>
              <w:t>眶</w:t>
            </w:r>
            <w:proofErr w:type="gramEnd"/>
            <w:r w:rsidRPr="00367086">
              <w:rPr>
                <w:rFonts w:asciiTheme="minorEastAsia" w:hAnsiTheme="minorEastAsia"/>
              </w:rPr>
              <w:t>周、口唇、面部、生殖器等部位水肿，还可引起胸闷、憋气、呼吸困难、心悸、哮喘发作、急性</w:t>
            </w:r>
            <w:proofErr w:type="gramStart"/>
            <w:r w:rsidRPr="00367086">
              <w:rPr>
                <w:rFonts w:asciiTheme="minorEastAsia" w:hAnsiTheme="minorEastAsia"/>
              </w:rPr>
              <w:t>喉</w:t>
            </w:r>
            <w:proofErr w:type="gramEnd"/>
            <w:r w:rsidRPr="00367086">
              <w:rPr>
                <w:rFonts w:asciiTheme="minorEastAsia" w:hAnsiTheme="minorEastAsia"/>
              </w:rPr>
              <w:t>水肿、血压下降，严重者出现过敏性休克，甚至导致死亡。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4.血液系统损害：本品可引起白细胞减少、粒细胞减少、血小板减少、粒细胞缺乏症、再生障碍性贫血、急性溶血性贫血、自身免疫性溶血性贫</w:t>
            </w:r>
            <w:r w:rsidRPr="00367086">
              <w:rPr>
                <w:rFonts w:asciiTheme="minorEastAsia" w:hAnsiTheme="minorEastAsia"/>
              </w:rPr>
              <w:lastRenderedPageBreak/>
              <w:t>血、血小板减少性紫癜、鼻衄、过敏性紫癜等，有引起暴发性紫癜并导致死亡的报道。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5.泌尿系统损害：本品可引起血尿、肾功能异常，有急性肾功能衰竭的报道。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6.其他：可出现头晕、头痛、局部麻木等神经系统症状，有肝细胞损害、</w:t>
            </w:r>
            <w:proofErr w:type="gramStart"/>
            <w:r w:rsidRPr="00367086">
              <w:rPr>
                <w:rFonts w:asciiTheme="minorEastAsia" w:hAnsiTheme="minorEastAsia"/>
              </w:rPr>
              <w:t>肝酶升高</w:t>
            </w:r>
            <w:proofErr w:type="gramEnd"/>
            <w:r w:rsidRPr="00367086">
              <w:rPr>
                <w:rFonts w:asciiTheme="minorEastAsia" w:hAnsiTheme="minorEastAsia"/>
              </w:rPr>
              <w:t>的报道，退热时可出现大汗和虚脱。</w:t>
            </w:r>
          </w:p>
        </w:tc>
      </w:tr>
      <w:tr w:rsidR="00DC7D72" w:rsidRPr="00367086" w:rsidTr="00930579">
        <w:trPr>
          <w:trHeight w:val="1204"/>
          <w:jc w:val="center"/>
        </w:trPr>
        <w:tc>
          <w:tcPr>
            <w:tcW w:w="1980" w:type="dxa"/>
            <w:vAlign w:val="center"/>
          </w:tcPr>
          <w:p w:rsidR="00DC7D72" w:rsidRPr="00367086" w:rsidRDefault="00DC7D72" w:rsidP="00930579">
            <w:pPr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lastRenderedPageBreak/>
              <w:t>【禁忌】</w:t>
            </w:r>
          </w:p>
        </w:tc>
        <w:tc>
          <w:tcPr>
            <w:tcW w:w="5103" w:type="dxa"/>
            <w:vAlign w:val="center"/>
          </w:tcPr>
          <w:p w:rsidR="00DC7D72" w:rsidRPr="00367086" w:rsidRDefault="00DC7D72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对本品或氨基比林有过敏史者禁用。</w:t>
            </w:r>
          </w:p>
        </w:tc>
        <w:tc>
          <w:tcPr>
            <w:tcW w:w="6804" w:type="dxa"/>
            <w:vAlign w:val="center"/>
          </w:tcPr>
          <w:p w:rsidR="00DC7D72" w:rsidRPr="00367086" w:rsidRDefault="00DC7D72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1.妊娠晚期妇女禁用。</w:t>
            </w:r>
          </w:p>
          <w:p w:rsidR="00DC7D72" w:rsidRPr="00367086" w:rsidRDefault="00DC7D72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2.18岁以下青少年儿童禁用。</w:t>
            </w:r>
          </w:p>
          <w:p w:rsidR="00DC7D72" w:rsidRPr="00367086" w:rsidRDefault="00DC7D72" w:rsidP="00DC7D72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3.对本品或氨基比林有过敏史者禁用。</w:t>
            </w:r>
          </w:p>
        </w:tc>
      </w:tr>
      <w:tr w:rsidR="002B3270" w:rsidRPr="00367086" w:rsidTr="00930579">
        <w:trPr>
          <w:trHeight w:val="4668"/>
          <w:jc w:val="center"/>
        </w:trPr>
        <w:tc>
          <w:tcPr>
            <w:tcW w:w="1980" w:type="dxa"/>
            <w:vAlign w:val="center"/>
          </w:tcPr>
          <w:p w:rsidR="002B3270" w:rsidRPr="00367086" w:rsidRDefault="002B3270" w:rsidP="00930579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【注意事项】</w:t>
            </w:r>
          </w:p>
        </w:tc>
        <w:tc>
          <w:tcPr>
            <w:tcW w:w="5103" w:type="dxa"/>
            <w:vAlign w:val="center"/>
          </w:tcPr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（1）本品与阿司匹林有交叉过敏反应。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（3）本品用药超过1周时应定期检查血象，一旦发生粒细胞减少，应立即停药。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804" w:type="dxa"/>
            <w:vAlign w:val="center"/>
          </w:tcPr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1.本品一般不作为首选用药，仅在病情急重，且无其他有效药品治疗的情况下短期使用。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5.本品与阿司匹林有交叉过敏反应。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6.本品用药超过1周时应定期检查血象，一旦发生粒细胞减少，应立即停药。</w:t>
            </w:r>
          </w:p>
        </w:tc>
      </w:tr>
      <w:tr w:rsidR="00CA4A5E" w:rsidRPr="00367086" w:rsidTr="00930579">
        <w:trPr>
          <w:trHeight w:val="1489"/>
          <w:jc w:val="center"/>
        </w:trPr>
        <w:tc>
          <w:tcPr>
            <w:tcW w:w="1980" w:type="dxa"/>
            <w:vAlign w:val="center"/>
          </w:tcPr>
          <w:p w:rsidR="00CA4A5E" w:rsidRPr="00367086" w:rsidRDefault="00CA4A5E" w:rsidP="0093057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lastRenderedPageBreak/>
              <w:t>【孕妇及哺乳期妇女用药】</w:t>
            </w:r>
          </w:p>
        </w:tc>
        <w:tc>
          <w:tcPr>
            <w:tcW w:w="5103" w:type="dxa"/>
            <w:vAlign w:val="center"/>
          </w:tcPr>
          <w:p w:rsidR="00CA4A5E" w:rsidRPr="00367086" w:rsidRDefault="00CA4A5E" w:rsidP="00CA4A5E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安乃近的代谢产物可进入乳汁。孕妇及哺乳期妇女不宜应用。</w:t>
            </w:r>
          </w:p>
        </w:tc>
        <w:tc>
          <w:tcPr>
            <w:tcW w:w="6804" w:type="dxa"/>
            <w:vAlign w:val="center"/>
          </w:tcPr>
          <w:p w:rsidR="00CA4A5E" w:rsidRPr="00367086" w:rsidRDefault="00CA4A5E" w:rsidP="00CA4A5E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1.妊娠早期和中期妇女不建议使用，妊娠晚期妇女禁用。</w:t>
            </w:r>
          </w:p>
          <w:p w:rsidR="00CA4A5E" w:rsidRPr="00367086" w:rsidRDefault="00CA4A5E" w:rsidP="00CA4A5E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2.安乃近的代谢产物可进入乳汁，哺乳期妇女不宜应用。</w:t>
            </w:r>
          </w:p>
        </w:tc>
      </w:tr>
      <w:tr w:rsidR="00CA4A5E" w:rsidRPr="00367086" w:rsidTr="00930579">
        <w:trPr>
          <w:trHeight w:val="844"/>
          <w:jc w:val="center"/>
        </w:trPr>
        <w:tc>
          <w:tcPr>
            <w:tcW w:w="1980" w:type="dxa"/>
            <w:vAlign w:val="center"/>
          </w:tcPr>
          <w:p w:rsidR="00CA4A5E" w:rsidRPr="00367086" w:rsidRDefault="00CA4A5E" w:rsidP="00930579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【儿童用药】</w:t>
            </w:r>
          </w:p>
        </w:tc>
        <w:tc>
          <w:tcPr>
            <w:tcW w:w="5103" w:type="dxa"/>
            <w:vAlign w:val="center"/>
          </w:tcPr>
          <w:p w:rsidR="00CA4A5E" w:rsidRPr="00367086" w:rsidRDefault="00CA4A5E" w:rsidP="0089719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6804" w:type="dxa"/>
            <w:vAlign w:val="center"/>
          </w:tcPr>
          <w:p w:rsidR="00CA4A5E" w:rsidRPr="00367086" w:rsidRDefault="00CA4A5E" w:rsidP="00E5723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本品禁用于18岁以下青少年儿童。</w:t>
            </w:r>
          </w:p>
        </w:tc>
      </w:tr>
    </w:tbl>
    <w:p w:rsidR="003B5E9F" w:rsidRPr="00367086" w:rsidRDefault="003B5E9F" w:rsidP="00724086">
      <w:pPr>
        <w:jc w:val="left"/>
        <w:rPr>
          <w:rFonts w:asciiTheme="minorEastAsia" w:hAnsiTheme="minorEastAsia"/>
        </w:rPr>
      </w:pPr>
    </w:p>
    <w:sectPr w:rsidR="003B5E9F" w:rsidRPr="00367086" w:rsidSect="00930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22699"/>
    <w:rsid w:val="00897197"/>
    <w:rsid w:val="00930579"/>
    <w:rsid w:val="009340A5"/>
    <w:rsid w:val="00A04806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2020-03-23T05:04:00Z</cp:lastPrinted>
  <dcterms:created xsi:type="dcterms:W3CDTF">2020-04-09T05:20:00Z</dcterms:created>
  <dcterms:modified xsi:type="dcterms:W3CDTF">2020-04-23T09:23:00Z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