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5F" w:rsidRPr="004D35B9" w:rsidRDefault="00FE315F" w:rsidP="00FE315F">
      <w:pPr>
        <w:spacing w:afterLines="50" w:after="156" w:line="440" w:lineRule="exact"/>
        <w:ind w:right="119"/>
        <w:jc w:val="center"/>
        <w:rPr>
          <w:rFonts w:ascii="仿宋" w:eastAsia="仿宋" w:hAnsi="仿宋"/>
          <w:b/>
          <w:sz w:val="28"/>
          <w:szCs w:val="32"/>
        </w:rPr>
      </w:pPr>
      <w:r w:rsidRPr="004D35B9">
        <w:rPr>
          <w:rFonts w:ascii="仿宋" w:eastAsia="仿宋" w:hAnsi="仿宋" w:hint="eastAsia"/>
          <w:b/>
          <w:sz w:val="28"/>
          <w:szCs w:val="32"/>
        </w:rPr>
        <w:t>安乃近片说明书修订详情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3969"/>
        <w:gridCol w:w="7887"/>
      </w:tblGrid>
      <w:tr w:rsidR="00FE315F" w:rsidRPr="005130D2" w:rsidTr="00FE315F">
        <w:trPr>
          <w:trHeight w:val="529"/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FE315F" w:rsidRPr="005130D2" w:rsidTr="00E44C96">
        <w:trPr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警示语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无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本品一般不作为首选用药，仅在病情急重，且无其他有效药品治疗的情况下使用。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本品禁用于18岁以下青少年儿童。</w:t>
            </w:r>
          </w:p>
        </w:tc>
      </w:tr>
      <w:tr w:rsidR="00FE315F" w:rsidRPr="005130D2" w:rsidTr="00E44C96">
        <w:trPr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/>
                <w:color w:val="000000"/>
                <w:szCs w:val="21"/>
              </w:rPr>
              <w:t>适应症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用于急性高热时的退热，也可用于急性疼痛的短期治疗，如头痛、偏头痛、肌肉痛、关节痛、痛经等。</w:t>
            </w:r>
          </w:p>
        </w:tc>
      </w:tr>
      <w:tr w:rsidR="00FE315F" w:rsidRPr="005130D2" w:rsidTr="00E44C96">
        <w:trPr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/>
                <w:color w:val="000000"/>
                <w:szCs w:val="21"/>
              </w:rPr>
              <w:t>用法用量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口服。成人常用量：一次1～2片，需要时服1次，最多一日3次。小儿：按体重一次10～20mg/kg，一日2～3次。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口服。成人常用量：一次1～2片，需时服1次，最多一日3次。应从最低有效剂量开始使用。</w:t>
            </w:r>
          </w:p>
        </w:tc>
      </w:tr>
      <w:tr w:rsidR="00FE315F" w:rsidRPr="005130D2" w:rsidTr="00FE315F">
        <w:trPr>
          <w:trHeight w:val="4358"/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本品对胃肠道的刺激虽较小，但可引起以下各种不良反应：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 xml:space="preserve">    1、血液方面，可引起粒细胞缺乏症，发生率约1.1%，急性起病，重者有致命危险，亦可引起自身免疫性溶血性贫血、血小板减少性紫癜、再生障碍性贫血等；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 xml:space="preserve">    2、皮肤方面，可引起荨麻疹、渗出性红斑等过敏性表现，严重者可发生剥脱性皮炎、表皮松解症等；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 xml:space="preserve">    3、个别病例可发生过敏性休克，甚至导致死亡。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3.全身性损害：本品可引起眼睑、眶周、口唇、面部、生殖器等部位水肿，还可引起胸闷、憋气、呼吸困难、心悸、哮喘发作、急性喉水肿、血压下降，严重者出现过敏性休克，甚至导致死亡。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4.血液系统损害：本品可引起白细胞减少、粒细胞减少、血小板减少、粒细胞缺乏症、再生障碍性贫血、急性溶血性贫血、自身免疫性溶血性贫血、血小板减少性紫癜、鼻衄、过敏性紫癜等，有引起暴发性紫癜并导致死亡的报道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5.泌尿系统损害：本品可引起血尿、肾功能异常，有急性肾功能衰竭的报道。</w:t>
            </w:r>
          </w:p>
          <w:p w:rsidR="00FE315F" w:rsidRPr="005130D2" w:rsidRDefault="00FE315F" w:rsidP="00E44C96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6.其他：可出现头晕、头痛、局部麻木等神经系统症状，有肝细胞损害、肝酶升高的报道，退热时可出现大汗和虚脱。</w:t>
            </w:r>
          </w:p>
        </w:tc>
      </w:tr>
      <w:tr w:rsidR="00FE315F" w:rsidRPr="005130D2" w:rsidTr="00E44C96">
        <w:trPr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对本品或氨基比林有过敏史者禁用。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1.妊娠晚期妇女禁用。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2.18岁以下青少年儿童禁用。</w:t>
            </w:r>
          </w:p>
          <w:p w:rsidR="00FE315F" w:rsidRPr="005130D2" w:rsidRDefault="00FE315F" w:rsidP="00E44C96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3.对本品或氨基比林有过敏史者禁用。</w:t>
            </w:r>
          </w:p>
        </w:tc>
      </w:tr>
      <w:tr w:rsidR="00FE315F" w:rsidRPr="005130D2" w:rsidTr="00F36D17">
        <w:trPr>
          <w:trHeight w:val="4390"/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【</w:t>
            </w: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="29" w:hangingChars="14" w:hanging="29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1、本品与阿司匹林有交叉过敏反应。</w:t>
            </w:r>
          </w:p>
          <w:p w:rsidR="00FE315F" w:rsidRPr="005130D2" w:rsidRDefault="00FE315F" w:rsidP="00E44C96">
            <w:pPr>
              <w:topLinePunct/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2、本品一般不作首选用药，仅在急性高热、病情急重，又无其他有效解热药可用的情况下用于紧急退热。</w:t>
            </w:r>
          </w:p>
          <w:p w:rsidR="00FE315F" w:rsidRPr="005130D2" w:rsidRDefault="00FE315F" w:rsidP="00E44C96">
            <w:pPr>
              <w:topLinePunct/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3、本品用药超过1周时应定期检查血象，一旦发生粒细胞减少，应立即停药。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1、本品一般不作为首选用药，仅在病情急重，且无其他有效药品治疗的情况下短期使用。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2、本品引起的皮肤损害多见，严重者需要住院治疗。使用本品如果出现皮疹、瘙痒等反应，应立即停药，严重者应立即就诊。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3、本品有引起过敏性休克风险。患者可出现胸闷、面部潮红、皮疹、呼吸困难、口唇发绀、大汗淋漓、血压降低、意识模糊、意识丧失等症状，甚至导致死亡。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本品有引起过敏性休克风险。患者可出现胸闷、面部潮红、皮疹、呼吸困难、口唇发绀、大汗淋漓、血压降低、意识模糊、意识丧失等症状，甚至导致死亡。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4、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5、本品与阿司匹林有交叉过敏反应。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6、本品一般不作首选用药，仅在急性高热、病情急重，又无其他有效解热药可用的情况下用于紧急退热。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7、本品用药超过1周时应定期检查血象，一旦发生粒细胞减少，应立即停药。</w:t>
            </w:r>
          </w:p>
        </w:tc>
      </w:tr>
      <w:tr w:rsidR="00FE315F" w:rsidRPr="005130D2" w:rsidTr="00E44C96">
        <w:trPr>
          <w:trHeight w:val="882"/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/>
                <w:color w:val="000000"/>
                <w:szCs w:val="21"/>
              </w:rPr>
              <w:t>孕妇及哺乳期妇女用药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Chars="14" w:left="29" w:firstLine="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安乃近的代谢产物可进入乳汁。孕妇及哺乳期妇女不宜应用。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1.妊娠早期和中期妇女不建议使用，妊娠晚期妇女禁用。</w:t>
            </w:r>
          </w:p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2.安乃近的代谢产物可进入乳汁，哺乳期妇女不宜应用。</w:t>
            </w:r>
          </w:p>
        </w:tc>
      </w:tr>
      <w:tr w:rsidR="00FE315F" w:rsidRPr="005130D2" w:rsidTr="00E44C96">
        <w:trPr>
          <w:trHeight w:val="1050"/>
          <w:jc w:val="center"/>
        </w:trPr>
        <w:tc>
          <w:tcPr>
            <w:tcW w:w="2873" w:type="dxa"/>
            <w:vAlign w:val="center"/>
          </w:tcPr>
          <w:p w:rsidR="00FE315F" w:rsidRPr="005130D2" w:rsidRDefault="00FE315F" w:rsidP="00E44C96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5130D2">
              <w:rPr>
                <w:rFonts w:ascii="仿宋" w:eastAsia="仿宋" w:hAnsi="仿宋"/>
                <w:color w:val="000000"/>
                <w:szCs w:val="21"/>
              </w:rPr>
              <w:t>儿童用药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Chars="14" w:left="29" w:firstLine="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 w:hint="eastAsia"/>
                <w:color w:val="000000"/>
                <w:szCs w:val="21"/>
              </w:rPr>
              <w:t>尚不明确。</w:t>
            </w:r>
          </w:p>
        </w:tc>
        <w:tc>
          <w:tcPr>
            <w:tcW w:w="7887" w:type="dxa"/>
            <w:vAlign w:val="center"/>
          </w:tcPr>
          <w:p w:rsidR="00FE315F" w:rsidRPr="005130D2" w:rsidRDefault="00FE315F" w:rsidP="00E44C96">
            <w:pPr>
              <w:topLinePunct/>
              <w:snapToGrid w:val="0"/>
              <w:ind w:leftChars="-1" w:left="-2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5130D2">
              <w:rPr>
                <w:rFonts w:ascii="仿宋" w:eastAsia="仿宋" w:hAnsi="仿宋"/>
                <w:color w:val="000000"/>
                <w:szCs w:val="21"/>
              </w:rPr>
              <w:t>本品禁用于18岁以下青少年儿童。</w:t>
            </w:r>
          </w:p>
        </w:tc>
      </w:tr>
    </w:tbl>
    <w:p w:rsidR="003B5E9F" w:rsidRPr="00FE315F" w:rsidRDefault="003B5E9F" w:rsidP="00FE315F">
      <w:bookmarkStart w:id="0" w:name="_GoBack"/>
      <w:bookmarkEnd w:id="0"/>
    </w:p>
    <w:sectPr w:rsidR="003B5E9F" w:rsidRPr="00FE315F" w:rsidSect="00853CF3">
      <w:pgSz w:w="16838" w:h="11906" w:orient="landscape"/>
      <w:pgMar w:top="56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C58" w:rsidRDefault="00825C58" w:rsidP="0099435C">
      <w:r>
        <w:separator/>
      </w:r>
    </w:p>
  </w:endnote>
  <w:endnote w:type="continuationSeparator" w:id="0">
    <w:p w:rsidR="00825C58" w:rsidRDefault="00825C58" w:rsidP="009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C58" w:rsidRDefault="00825C58" w:rsidP="0099435C">
      <w:r>
        <w:separator/>
      </w:r>
    </w:p>
  </w:footnote>
  <w:footnote w:type="continuationSeparator" w:id="0">
    <w:p w:rsidR="00825C58" w:rsidRDefault="00825C58" w:rsidP="0099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23373"/>
    <w:rsid w:val="0001400E"/>
    <w:rsid w:val="000728D8"/>
    <w:rsid w:val="00080761"/>
    <w:rsid w:val="00144B0A"/>
    <w:rsid w:val="001B2A46"/>
    <w:rsid w:val="001B7E5E"/>
    <w:rsid w:val="002230A6"/>
    <w:rsid w:val="002B3270"/>
    <w:rsid w:val="002C122F"/>
    <w:rsid w:val="002F1A7C"/>
    <w:rsid w:val="0034060B"/>
    <w:rsid w:val="00340F9C"/>
    <w:rsid w:val="00365B3D"/>
    <w:rsid w:val="00367086"/>
    <w:rsid w:val="003B5E9F"/>
    <w:rsid w:val="004B46F6"/>
    <w:rsid w:val="004E04AD"/>
    <w:rsid w:val="00502021"/>
    <w:rsid w:val="00517E07"/>
    <w:rsid w:val="005846FD"/>
    <w:rsid w:val="005A45E9"/>
    <w:rsid w:val="005B0B43"/>
    <w:rsid w:val="00621A5C"/>
    <w:rsid w:val="00622996"/>
    <w:rsid w:val="006262C2"/>
    <w:rsid w:val="006634A1"/>
    <w:rsid w:val="00690171"/>
    <w:rsid w:val="006B3D9F"/>
    <w:rsid w:val="006C13F2"/>
    <w:rsid w:val="00715EB4"/>
    <w:rsid w:val="007171A1"/>
    <w:rsid w:val="00724086"/>
    <w:rsid w:val="00751893"/>
    <w:rsid w:val="00825C58"/>
    <w:rsid w:val="0082791F"/>
    <w:rsid w:val="00897197"/>
    <w:rsid w:val="008B1D16"/>
    <w:rsid w:val="009340A5"/>
    <w:rsid w:val="0099435C"/>
    <w:rsid w:val="00A04806"/>
    <w:rsid w:val="00A269C6"/>
    <w:rsid w:val="00A62397"/>
    <w:rsid w:val="00B17BE7"/>
    <w:rsid w:val="00B47486"/>
    <w:rsid w:val="00B64834"/>
    <w:rsid w:val="00BE4329"/>
    <w:rsid w:val="00C0254A"/>
    <w:rsid w:val="00C43808"/>
    <w:rsid w:val="00CA4A5E"/>
    <w:rsid w:val="00D02EFA"/>
    <w:rsid w:val="00D34087"/>
    <w:rsid w:val="00D70259"/>
    <w:rsid w:val="00D82F7A"/>
    <w:rsid w:val="00DA0C61"/>
    <w:rsid w:val="00DA2F4E"/>
    <w:rsid w:val="00DC7D72"/>
    <w:rsid w:val="00E146D5"/>
    <w:rsid w:val="00E57232"/>
    <w:rsid w:val="00E759F9"/>
    <w:rsid w:val="00F06884"/>
    <w:rsid w:val="00F36D17"/>
    <w:rsid w:val="00F954C5"/>
    <w:rsid w:val="00FB13C5"/>
    <w:rsid w:val="00FE315F"/>
    <w:rsid w:val="00FF20FD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D4E85B-E32F-467F-B683-5EA2E927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0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35C"/>
    <w:rPr>
      <w:kern w:val="2"/>
      <w:sz w:val="18"/>
      <w:szCs w:val="18"/>
    </w:rPr>
  </w:style>
  <w:style w:type="paragraph" w:styleId="a5">
    <w:name w:val="footer"/>
    <w:basedOn w:val="a"/>
    <w:link w:val="Char0"/>
    <w:rsid w:val="0099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43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cp:lastPrinted>2020-03-23T05:04:00Z</cp:lastPrinted>
  <dcterms:created xsi:type="dcterms:W3CDTF">2020-04-09T05:20:00Z</dcterms:created>
  <dcterms:modified xsi:type="dcterms:W3CDTF">2020-05-15T08:20:00Z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