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367086" w:rsidRDefault="00DA0C61" w:rsidP="002C122F">
      <w:pPr>
        <w:spacing w:line="360" w:lineRule="auto"/>
        <w:jc w:val="center"/>
        <w:rPr>
          <w:rFonts w:asciiTheme="minorEastAsia" w:hAnsiTheme="minorEastAsia" w:cs="Times New Roman"/>
          <w:b/>
          <w:sz w:val="28"/>
        </w:rPr>
      </w:pPr>
      <w:r w:rsidRPr="00367086">
        <w:rPr>
          <w:rFonts w:asciiTheme="minorEastAsia" w:hAnsiTheme="minorEastAsia" w:cs="Times New Roman" w:hint="eastAsia"/>
          <w:b/>
          <w:sz w:val="28"/>
        </w:rPr>
        <w:t>安乃近片</w:t>
      </w:r>
      <w:r w:rsidR="002C122F" w:rsidRPr="00367086">
        <w:rPr>
          <w:rFonts w:asciiTheme="minorEastAsia" w:hAnsiTheme="minorEastAsia" w:cs="Times New Roman" w:hint="eastAsia"/>
          <w:b/>
          <w:sz w:val="28"/>
        </w:rPr>
        <w:t>说明书修订</w:t>
      </w:r>
      <w:r w:rsidR="00690171" w:rsidRPr="00367086">
        <w:rPr>
          <w:rFonts w:asciiTheme="minorEastAsia" w:hAnsiTheme="minorEastAsia" w:cs="Times New Roman" w:hint="eastAsia"/>
          <w:b/>
          <w:sz w:val="28"/>
        </w:rPr>
        <w:t>详情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2977"/>
        <w:gridCol w:w="3998"/>
      </w:tblGrid>
      <w:tr w:rsidR="002C122F" w:rsidRPr="00367086" w:rsidTr="00CA4A5E">
        <w:trPr>
          <w:trHeight w:val="495"/>
          <w:jc w:val="center"/>
        </w:trPr>
        <w:tc>
          <w:tcPr>
            <w:tcW w:w="1389" w:type="dxa"/>
            <w:vAlign w:val="center"/>
          </w:tcPr>
          <w:p w:rsidR="002C122F" w:rsidRPr="00367086" w:rsidRDefault="002C122F" w:rsidP="002C122F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67086">
              <w:rPr>
                <w:rFonts w:asciiTheme="minorEastAsia" w:hAnsiTheme="minorEastAsia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Pr="00367086" w:rsidRDefault="002C122F" w:rsidP="002C122F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67086">
              <w:rPr>
                <w:rFonts w:asciiTheme="minorEastAsia" w:hAnsiTheme="minorEastAsia" w:hint="eastAsia"/>
                <w:b/>
                <w:szCs w:val="21"/>
              </w:rPr>
              <w:t>修订前说明书内容</w:t>
            </w:r>
          </w:p>
        </w:tc>
        <w:tc>
          <w:tcPr>
            <w:tcW w:w="3998" w:type="dxa"/>
            <w:vAlign w:val="center"/>
          </w:tcPr>
          <w:p w:rsidR="002C122F" w:rsidRPr="00367086" w:rsidRDefault="002C122F" w:rsidP="002C122F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67086">
              <w:rPr>
                <w:rFonts w:asciiTheme="minorEastAsia" w:hAnsiTheme="minorEastAsia" w:hint="eastAsia"/>
                <w:b/>
                <w:szCs w:val="21"/>
              </w:rPr>
              <w:t>修订后说明书内容</w:t>
            </w:r>
          </w:p>
        </w:tc>
      </w:tr>
      <w:tr w:rsidR="00FB13C5" w:rsidRPr="00367086" w:rsidTr="00CA4A5E">
        <w:trPr>
          <w:jc w:val="center"/>
        </w:trPr>
        <w:tc>
          <w:tcPr>
            <w:tcW w:w="1389" w:type="dxa"/>
            <w:vAlign w:val="center"/>
          </w:tcPr>
          <w:p w:rsidR="00FB13C5" w:rsidRPr="00367086" w:rsidRDefault="00FB13C5" w:rsidP="00FB13C5">
            <w:pPr>
              <w:jc w:val="center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【</w:t>
            </w:r>
            <w:r w:rsidRPr="00367086">
              <w:rPr>
                <w:rFonts w:asciiTheme="minorEastAsia" w:hAnsiTheme="minorEastAsia" w:hint="eastAsia"/>
              </w:rPr>
              <w:t>警示语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FB13C5" w:rsidRPr="00367086" w:rsidRDefault="00FB13C5" w:rsidP="00897197">
            <w:pPr>
              <w:jc w:val="center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3998" w:type="dxa"/>
            <w:vAlign w:val="center"/>
          </w:tcPr>
          <w:p w:rsidR="00FB13C5" w:rsidRPr="00367086" w:rsidRDefault="00FB13C5" w:rsidP="00FB13C5">
            <w:pPr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本品可能引起血液系统严重不良反应，如粒细胞</w:t>
            </w:r>
            <w:bookmarkStart w:id="0" w:name="_GoBack"/>
            <w:bookmarkEnd w:id="0"/>
            <w:r w:rsidRPr="00367086">
              <w:rPr>
                <w:rFonts w:asciiTheme="minorEastAsia" w:hAnsiTheme="minorEastAsia" w:hint="eastAsia"/>
              </w:rPr>
              <w:t>缺乏症、血小板减少性紫癜、再生障碍性贫血等。本品还可能引起严重过敏反应，如重症药疹、过敏性休克等。请在医师的指导下使用本品，了解用药风险。</w:t>
            </w:r>
          </w:p>
        </w:tc>
      </w:tr>
      <w:tr w:rsidR="00FB13C5" w:rsidRPr="00367086" w:rsidTr="00CA4A5E">
        <w:trPr>
          <w:jc w:val="center"/>
        </w:trPr>
        <w:tc>
          <w:tcPr>
            <w:tcW w:w="1389" w:type="dxa"/>
            <w:vAlign w:val="center"/>
          </w:tcPr>
          <w:p w:rsidR="00FB13C5" w:rsidRPr="00367086" w:rsidRDefault="00FB13C5" w:rsidP="00FB13C5">
            <w:pPr>
              <w:jc w:val="center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【</w:t>
            </w:r>
            <w:r w:rsidRPr="00367086">
              <w:rPr>
                <w:rFonts w:asciiTheme="minorEastAsia" w:hAnsiTheme="minorEastAsia" w:hint="eastAsia"/>
              </w:rPr>
              <w:t>适应症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FB13C5" w:rsidRPr="00367086" w:rsidRDefault="00FB13C5" w:rsidP="00FB13C5">
            <w:pPr>
              <w:jc w:val="left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3998" w:type="dxa"/>
            <w:vAlign w:val="center"/>
          </w:tcPr>
          <w:p w:rsidR="00FB13C5" w:rsidRPr="00367086" w:rsidRDefault="00FB13C5" w:rsidP="002B3270">
            <w:pPr>
              <w:jc w:val="left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用于急性高热时的退热，也可用于急性疼痛的短期治疗，如头痛、偏头痛、肌肉痛、关节痛、痛经等。</w:t>
            </w:r>
          </w:p>
        </w:tc>
      </w:tr>
      <w:tr w:rsidR="00FB13C5" w:rsidRPr="00367086" w:rsidTr="00CA4A5E">
        <w:trPr>
          <w:jc w:val="center"/>
        </w:trPr>
        <w:tc>
          <w:tcPr>
            <w:tcW w:w="1389" w:type="dxa"/>
            <w:vAlign w:val="center"/>
          </w:tcPr>
          <w:p w:rsidR="00FB13C5" w:rsidRPr="00367086" w:rsidRDefault="00FB13C5" w:rsidP="00FB13C5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【</w:t>
            </w:r>
            <w:r w:rsidRPr="00367086">
              <w:rPr>
                <w:rFonts w:asciiTheme="minorEastAsia" w:hAnsiTheme="minorEastAsia" w:hint="eastAsia"/>
              </w:rPr>
              <w:t>用法用量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FB13C5" w:rsidRPr="00367086" w:rsidRDefault="00FB13C5" w:rsidP="002B3270">
            <w:pPr>
              <w:jc w:val="left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口服。成人常用量：一次0</w:t>
            </w:r>
            <w:r w:rsidRPr="00367086">
              <w:rPr>
                <w:rFonts w:asciiTheme="minorEastAsia" w:hAnsiTheme="minorEastAsia"/>
              </w:rPr>
              <w:t>.5</w:t>
            </w:r>
            <w:r w:rsidRPr="00367086">
              <w:rPr>
                <w:rFonts w:asciiTheme="minorEastAsia" w:hAnsiTheme="minorEastAsia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367086">
                <w:rPr>
                  <w:rFonts w:asciiTheme="minorEastAsia" w:hAnsiTheme="minorEastAsia"/>
                </w:rPr>
                <w:t>1g</w:t>
              </w:r>
            </w:smartTag>
            <w:r w:rsidRPr="00367086">
              <w:rPr>
                <w:rFonts w:asciiTheme="minorEastAsia" w:hAnsiTheme="minorEastAsia" w:hint="eastAsia"/>
              </w:rPr>
              <w:t>，需要时服1次，最多一日3次。小儿：按体重一次10～20mg/</w:t>
            </w:r>
            <w:r w:rsidRPr="00367086">
              <w:rPr>
                <w:rFonts w:asciiTheme="minorEastAsia" w:hAnsiTheme="minorEastAsia"/>
              </w:rPr>
              <w:t>kg</w:t>
            </w:r>
            <w:r w:rsidRPr="00367086">
              <w:rPr>
                <w:rFonts w:asciiTheme="minorEastAsia" w:hAnsiTheme="minorEastAsia" w:hint="eastAsia"/>
              </w:rPr>
              <w:t>，一日2～3次。</w:t>
            </w:r>
          </w:p>
        </w:tc>
        <w:tc>
          <w:tcPr>
            <w:tcW w:w="3998" w:type="dxa"/>
            <w:vAlign w:val="center"/>
          </w:tcPr>
          <w:p w:rsidR="00FB13C5" w:rsidRPr="00367086" w:rsidRDefault="00FB13C5" w:rsidP="002B3270">
            <w:pPr>
              <w:jc w:val="left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口服。成人常用量：一次0</w:t>
            </w:r>
            <w:r w:rsidRPr="00367086">
              <w:rPr>
                <w:rFonts w:asciiTheme="minorEastAsia" w:hAnsiTheme="minorEastAsia"/>
              </w:rPr>
              <w:t>.5</w:t>
            </w:r>
            <w:r w:rsidRPr="00367086">
              <w:rPr>
                <w:rFonts w:asciiTheme="minorEastAsia" w:hAnsiTheme="minorEastAsia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367086">
                <w:rPr>
                  <w:rFonts w:asciiTheme="minorEastAsia" w:hAnsiTheme="minorEastAsia"/>
                </w:rPr>
                <w:t>1g</w:t>
              </w:r>
            </w:smartTag>
            <w:r w:rsidRPr="00367086">
              <w:rPr>
                <w:rFonts w:asciiTheme="minorEastAsia" w:hAnsiTheme="minorEastAsia" w:hint="eastAsia"/>
              </w:rPr>
              <w:t>，需要时服1次，最多一日3次，</w:t>
            </w:r>
            <w:r w:rsidRPr="00367086">
              <w:rPr>
                <w:rFonts w:asciiTheme="minorEastAsia" w:hAnsiTheme="minorEastAsia"/>
              </w:rPr>
              <w:t>应从最低有效剂量开始使用</w:t>
            </w:r>
            <w:r w:rsidRPr="00367086">
              <w:rPr>
                <w:rFonts w:asciiTheme="minorEastAsia" w:hAnsiTheme="minorEastAsia" w:hint="eastAsia"/>
              </w:rPr>
              <w:t>。</w:t>
            </w:r>
          </w:p>
        </w:tc>
      </w:tr>
      <w:tr w:rsidR="00D70259" w:rsidRPr="00367086" w:rsidTr="00CA4A5E">
        <w:trPr>
          <w:jc w:val="center"/>
        </w:trPr>
        <w:tc>
          <w:tcPr>
            <w:tcW w:w="1389" w:type="dxa"/>
            <w:vAlign w:val="center"/>
          </w:tcPr>
          <w:p w:rsidR="00D70259" w:rsidRPr="00367086" w:rsidRDefault="00D70259" w:rsidP="00D70259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 w:rsidRPr="00367086">
              <w:rPr>
                <w:rFonts w:asciiTheme="minorEastAsia" w:hAnsiTheme="minorEastAsia" w:hint="eastAsia"/>
              </w:rPr>
              <w:t>【</w:t>
            </w:r>
            <w:r w:rsidRPr="00367086">
              <w:rPr>
                <w:rFonts w:asciiTheme="minorEastAsia" w:hAnsiTheme="minorEastAsia" w:hint="eastAsia"/>
              </w:rPr>
              <w:t>不良反应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D70259" w:rsidRPr="00367086" w:rsidRDefault="00D70259" w:rsidP="00D70259">
            <w:pPr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  <w:p w:rsidR="00D70259" w:rsidRPr="00367086" w:rsidRDefault="00D70259" w:rsidP="00D70259">
            <w:pPr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3998" w:type="dxa"/>
            <w:vAlign w:val="center"/>
          </w:tcPr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3.全身性损害：本品可引起眼睑、</w:t>
            </w:r>
            <w:proofErr w:type="gramStart"/>
            <w:r w:rsidRPr="00367086">
              <w:rPr>
                <w:rFonts w:asciiTheme="minorEastAsia" w:hAnsiTheme="minorEastAsia"/>
              </w:rPr>
              <w:t>眶</w:t>
            </w:r>
            <w:proofErr w:type="gramEnd"/>
            <w:r w:rsidRPr="00367086">
              <w:rPr>
                <w:rFonts w:asciiTheme="minorEastAsia" w:hAnsiTheme="minorEastAsia"/>
              </w:rPr>
              <w:t>周、口唇、面部、生殖器等部位水肿，还可引起胸闷、憋气、呼吸困难、心悸、哮喘发作、急性</w:t>
            </w:r>
            <w:proofErr w:type="gramStart"/>
            <w:r w:rsidRPr="00367086">
              <w:rPr>
                <w:rFonts w:asciiTheme="minorEastAsia" w:hAnsiTheme="minorEastAsia"/>
              </w:rPr>
              <w:t>喉</w:t>
            </w:r>
            <w:proofErr w:type="gramEnd"/>
            <w:r w:rsidRPr="00367086">
              <w:rPr>
                <w:rFonts w:asciiTheme="minorEastAsia" w:hAnsiTheme="minorEastAsia"/>
              </w:rPr>
              <w:t>水肿、血压下降，严重者出现过敏性休克，甚至导致死亡。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5.泌尿系统损害：本品可引起血尿、肾功能异常，有急性肾功能衰竭的报道。</w:t>
            </w:r>
          </w:p>
          <w:p w:rsidR="00D70259" w:rsidRPr="00367086" w:rsidRDefault="00D70259" w:rsidP="00DC7D72">
            <w:pPr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/>
              </w:rPr>
              <w:lastRenderedPageBreak/>
              <w:t>6.其他：可出现头晕、头痛、局部麻木等神经系统症状，有肝细胞损害、</w:t>
            </w:r>
            <w:proofErr w:type="gramStart"/>
            <w:r w:rsidRPr="00367086">
              <w:rPr>
                <w:rFonts w:asciiTheme="minorEastAsia" w:hAnsiTheme="minorEastAsia"/>
              </w:rPr>
              <w:t>肝酶升高</w:t>
            </w:r>
            <w:proofErr w:type="gramEnd"/>
            <w:r w:rsidRPr="00367086">
              <w:rPr>
                <w:rFonts w:asciiTheme="minorEastAsia" w:hAnsiTheme="minorEastAsia"/>
              </w:rPr>
              <w:t>的报道，退热时可出现大汗和虚脱。</w:t>
            </w:r>
          </w:p>
        </w:tc>
      </w:tr>
      <w:tr w:rsidR="00DC7D72" w:rsidRPr="00367086" w:rsidTr="00CA4A5E">
        <w:trPr>
          <w:trHeight w:val="1204"/>
          <w:jc w:val="center"/>
        </w:trPr>
        <w:tc>
          <w:tcPr>
            <w:tcW w:w="1389" w:type="dxa"/>
            <w:vAlign w:val="center"/>
          </w:tcPr>
          <w:p w:rsidR="00DC7D72" w:rsidRPr="00367086" w:rsidRDefault="00DC7D72" w:rsidP="00DC7D72">
            <w:pPr>
              <w:jc w:val="center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lastRenderedPageBreak/>
              <w:t>【</w:t>
            </w:r>
            <w:r w:rsidRPr="00367086">
              <w:rPr>
                <w:rFonts w:asciiTheme="minorEastAsia" w:hAnsiTheme="minorEastAsia" w:hint="eastAsia"/>
              </w:rPr>
              <w:t>禁忌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DC7D72" w:rsidRPr="00367086" w:rsidRDefault="00DC7D72" w:rsidP="002B3270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对本品或氨基比林有过敏史者禁用。</w:t>
            </w:r>
          </w:p>
        </w:tc>
        <w:tc>
          <w:tcPr>
            <w:tcW w:w="3998" w:type="dxa"/>
            <w:vAlign w:val="center"/>
          </w:tcPr>
          <w:p w:rsidR="00DC7D72" w:rsidRPr="00367086" w:rsidRDefault="00DC7D72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1.妊娠晚期妇女禁用。</w:t>
            </w:r>
          </w:p>
          <w:p w:rsidR="00DC7D72" w:rsidRPr="00367086" w:rsidRDefault="00DC7D72" w:rsidP="00DC7D72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2.18岁以下青少年儿童禁用。</w:t>
            </w:r>
          </w:p>
          <w:p w:rsidR="00DC7D72" w:rsidRPr="00367086" w:rsidRDefault="00DC7D72" w:rsidP="00DC7D72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3.对本品或氨基比林有过敏史者禁用。</w:t>
            </w:r>
          </w:p>
        </w:tc>
      </w:tr>
      <w:tr w:rsidR="002B3270" w:rsidRPr="00367086" w:rsidTr="00CA4A5E">
        <w:trPr>
          <w:trHeight w:val="5540"/>
          <w:jc w:val="center"/>
        </w:trPr>
        <w:tc>
          <w:tcPr>
            <w:tcW w:w="1389" w:type="dxa"/>
            <w:vAlign w:val="center"/>
          </w:tcPr>
          <w:p w:rsidR="002B3270" w:rsidRPr="00367086" w:rsidRDefault="002B3270" w:rsidP="002B3270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【</w:t>
            </w:r>
            <w:r w:rsidRPr="00367086">
              <w:rPr>
                <w:rFonts w:asciiTheme="minorEastAsia" w:hAnsiTheme="minorEastAsia" w:hint="eastAsia"/>
              </w:rPr>
              <w:t>注意事项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2B3270" w:rsidRPr="00367086" w:rsidRDefault="002B3270" w:rsidP="002B3270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（1）本品与阿司匹林有交叉过敏反应。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（2）本品一般不作首选用药，仅在急性高热、病情急重，又无其他有效解热药可用的情况下用于紧急退热。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（3）本品用药超过1周时应定期检查血象，一旦发生粒细胞减少，应立即停药。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 w:hint="eastAsia"/>
              </w:rPr>
            </w:pPr>
          </w:p>
        </w:tc>
        <w:tc>
          <w:tcPr>
            <w:tcW w:w="3998" w:type="dxa"/>
            <w:vAlign w:val="center"/>
          </w:tcPr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1.本品一般不作为首选用药，仅在病情急重，且无其他有效药品治疗的情况下短期使用。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2.本品引起的皮肤损害多见，严重者需要住院治疗。使用本品如果出现皮疹、瘙痒等反应，应立即停药，严重者应立即就诊。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5.本品与阿司匹林有交叉过敏反应。</w:t>
            </w:r>
          </w:p>
          <w:p w:rsidR="002B3270" w:rsidRPr="00367086" w:rsidRDefault="002B3270" w:rsidP="002B3270">
            <w:pPr>
              <w:snapToGrid w:val="0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 w:hint="eastAsia"/>
              </w:rPr>
              <w:t>6.本品用药超过1周时应定期检查血象，一旦发生粒细胞减少，应立即停药。</w:t>
            </w:r>
          </w:p>
        </w:tc>
      </w:tr>
      <w:tr w:rsidR="00CA4A5E" w:rsidRPr="00367086" w:rsidTr="00CA4A5E">
        <w:trPr>
          <w:trHeight w:val="1489"/>
          <w:jc w:val="center"/>
        </w:trPr>
        <w:tc>
          <w:tcPr>
            <w:tcW w:w="1389" w:type="dxa"/>
            <w:vAlign w:val="center"/>
          </w:tcPr>
          <w:p w:rsidR="00CA4A5E" w:rsidRPr="00367086" w:rsidRDefault="00CA4A5E" w:rsidP="00CA4A5E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【</w:t>
            </w:r>
            <w:r w:rsidRPr="00367086">
              <w:rPr>
                <w:rFonts w:asciiTheme="minorEastAsia" w:hAnsiTheme="minorEastAsia" w:hint="eastAsia"/>
              </w:rPr>
              <w:t>孕妇及哺乳期妇女用药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CA4A5E" w:rsidRPr="00367086" w:rsidRDefault="00CA4A5E" w:rsidP="00CA4A5E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安乃近的代谢产物可进入乳汁。孕妇及哺乳期妇女不宜应用。</w:t>
            </w:r>
          </w:p>
        </w:tc>
        <w:tc>
          <w:tcPr>
            <w:tcW w:w="3998" w:type="dxa"/>
            <w:vAlign w:val="center"/>
          </w:tcPr>
          <w:p w:rsidR="00CA4A5E" w:rsidRPr="00367086" w:rsidRDefault="00CA4A5E" w:rsidP="00CA4A5E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1.妊娠早期和中期妇女不建议使用，妊娠晚期妇女禁用。</w:t>
            </w:r>
          </w:p>
          <w:p w:rsidR="00CA4A5E" w:rsidRPr="00367086" w:rsidRDefault="00CA4A5E" w:rsidP="00CA4A5E">
            <w:pPr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2.安乃近的代谢产物可进入乳汁，哺乳期妇女不宜应用。</w:t>
            </w:r>
          </w:p>
        </w:tc>
      </w:tr>
      <w:tr w:rsidR="00CA4A5E" w:rsidRPr="00367086" w:rsidTr="00CA4A5E">
        <w:trPr>
          <w:trHeight w:val="844"/>
          <w:jc w:val="center"/>
        </w:trPr>
        <w:tc>
          <w:tcPr>
            <w:tcW w:w="1389" w:type="dxa"/>
            <w:vAlign w:val="center"/>
          </w:tcPr>
          <w:p w:rsidR="00CA4A5E" w:rsidRPr="00367086" w:rsidRDefault="00CA4A5E" w:rsidP="00CA4A5E">
            <w:pPr>
              <w:snapToGrid w:val="0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【</w:t>
            </w:r>
            <w:r w:rsidRPr="00367086">
              <w:rPr>
                <w:rFonts w:asciiTheme="minorEastAsia" w:hAnsiTheme="minorEastAsia" w:hint="eastAsia"/>
              </w:rPr>
              <w:t>儿童用药</w:t>
            </w:r>
            <w:r w:rsidRPr="00367086">
              <w:rPr>
                <w:rFonts w:asciiTheme="minorEastAsia" w:hAnsiTheme="minorEastAsia" w:hint="eastAsia"/>
              </w:rPr>
              <w:t>】</w:t>
            </w:r>
          </w:p>
        </w:tc>
        <w:tc>
          <w:tcPr>
            <w:tcW w:w="2977" w:type="dxa"/>
            <w:vAlign w:val="center"/>
          </w:tcPr>
          <w:p w:rsidR="00CA4A5E" w:rsidRPr="00367086" w:rsidRDefault="00CA4A5E" w:rsidP="00897197">
            <w:pPr>
              <w:snapToGrid w:val="0"/>
              <w:jc w:val="center"/>
              <w:rPr>
                <w:rFonts w:asciiTheme="minorEastAsia" w:hAnsiTheme="minorEastAsia" w:hint="eastAsia"/>
              </w:rPr>
            </w:pPr>
            <w:r w:rsidRPr="00367086"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3998" w:type="dxa"/>
            <w:vAlign w:val="center"/>
          </w:tcPr>
          <w:p w:rsidR="00CA4A5E" w:rsidRPr="00367086" w:rsidRDefault="00CA4A5E" w:rsidP="00E5723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367086">
              <w:rPr>
                <w:rFonts w:asciiTheme="minorEastAsia" w:hAnsiTheme="minorEastAsia"/>
              </w:rPr>
              <w:t>本品禁用于18岁以下青少年儿童。</w:t>
            </w:r>
          </w:p>
        </w:tc>
      </w:tr>
    </w:tbl>
    <w:p w:rsidR="003B5E9F" w:rsidRPr="00367086" w:rsidRDefault="003B5E9F" w:rsidP="00724086">
      <w:pPr>
        <w:jc w:val="left"/>
        <w:rPr>
          <w:rFonts w:asciiTheme="minorEastAsia" w:hAnsiTheme="minorEastAsia"/>
        </w:rPr>
      </w:pPr>
    </w:p>
    <w:sectPr w:rsidR="003B5E9F" w:rsidRPr="0036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B3270"/>
    <w:rsid w:val="002C122F"/>
    <w:rsid w:val="00367086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897197"/>
    <w:rsid w:val="009340A5"/>
    <w:rsid w:val="00A04806"/>
    <w:rsid w:val="00B64834"/>
    <w:rsid w:val="00CA4A5E"/>
    <w:rsid w:val="00D34087"/>
    <w:rsid w:val="00D70259"/>
    <w:rsid w:val="00DA0C61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2020-03-23T05:04:00Z</cp:lastPrinted>
  <dcterms:created xsi:type="dcterms:W3CDTF">2020-04-09T05:20:00Z</dcterms:created>
  <dcterms:modified xsi:type="dcterms:W3CDTF">2020-04-09T05:20:00Z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